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A1" w:rsidRPr="0053284E" w:rsidRDefault="00CE75A1" w:rsidP="00CE75A1">
      <w:pPr>
        <w:autoSpaceDE w:val="0"/>
        <w:autoSpaceDN w:val="0"/>
        <w:adjustRightInd w:val="0"/>
        <w:spacing w:after="0" w:line="240" w:lineRule="auto"/>
        <w:rPr>
          <w:rFonts w:cs="Arial"/>
          <w:b/>
          <w:bCs/>
          <w:lang w:val="fr-FR"/>
        </w:rPr>
      </w:pPr>
      <w:bookmarkStart w:id="0" w:name="_GoBack"/>
      <w:bookmarkEnd w:id="0"/>
      <w:r w:rsidRPr="0053284E">
        <w:rPr>
          <w:rFonts w:cs="Arial"/>
          <w:b/>
          <w:bCs/>
          <w:lang w:val="fr-FR"/>
        </w:rPr>
        <w:t>Projet de loi portant :</w:t>
      </w:r>
    </w:p>
    <w:p w:rsidR="00CE75A1" w:rsidRPr="0053284E" w:rsidRDefault="00CE75A1" w:rsidP="00CE75A1">
      <w:pPr>
        <w:autoSpaceDE w:val="0"/>
        <w:autoSpaceDN w:val="0"/>
        <w:adjustRightInd w:val="0"/>
        <w:spacing w:after="0" w:line="240" w:lineRule="auto"/>
        <w:ind w:left="284" w:hanging="284"/>
        <w:rPr>
          <w:rFonts w:cs="Arial"/>
          <w:b/>
          <w:bCs/>
          <w:lang w:val="fr-FR"/>
        </w:rPr>
      </w:pPr>
      <w:r w:rsidRPr="0053284E">
        <w:rPr>
          <w:rFonts w:cs="Arial"/>
          <w:b/>
          <w:bCs/>
          <w:lang w:val="fr-FR"/>
        </w:rPr>
        <w:t xml:space="preserve">1° </w:t>
      </w:r>
      <w:r w:rsidRPr="0053284E">
        <w:rPr>
          <w:rFonts w:cs="Arial"/>
          <w:b/>
          <w:bCs/>
          <w:lang w:val="fr-FR"/>
        </w:rPr>
        <w:tab/>
        <w:t xml:space="preserve">modification de : </w:t>
      </w:r>
    </w:p>
    <w:p w:rsidR="00CE75A1" w:rsidRPr="0053284E" w:rsidRDefault="00CE75A1" w:rsidP="00CE75A1">
      <w:pPr>
        <w:numPr>
          <w:ilvl w:val="1"/>
          <w:numId w:val="12"/>
        </w:numPr>
        <w:autoSpaceDE w:val="0"/>
        <w:autoSpaceDN w:val="0"/>
        <w:adjustRightInd w:val="0"/>
        <w:spacing w:after="0" w:afterAutospacing="1" w:line="240" w:lineRule="auto"/>
        <w:ind w:left="1560" w:hanging="480"/>
        <w:rPr>
          <w:rFonts w:cs="Arial"/>
          <w:b/>
          <w:bCs/>
          <w:lang w:val="fr-FR"/>
        </w:rPr>
      </w:pPr>
      <w:r w:rsidRPr="0053284E">
        <w:rPr>
          <w:rFonts w:cs="Arial"/>
          <w:b/>
          <w:bCs/>
          <w:lang w:val="fr-FR"/>
        </w:rPr>
        <w:t>la loi modifiée du 5 avril 1993 relative au secteur financier ;</w:t>
      </w:r>
    </w:p>
    <w:p w:rsidR="00CE75A1" w:rsidRPr="0053284E" w:rsidRDefault="00CE75A1" w:rsidP="00CE75A1">
      <w:pPr>
        <w:numPr>
          <w:ilvl w:val="1"/>
          <w:numId w:val="12"/>
        </w:numPr>
        <w:autoSpaceDE w:val="0"/>
        <w:autoSpaceDN w:val="0"/>
        <w:adjustRightInd w:val="0"/>
        <w:spacing w:after="0" w:afterAutospacing="1" w:line="240" w:lineRule="auto"/>
        <w:ind w:left="1560" w:hanging="480"/>
        <w:rPr>
          <w:rFonts w:cs="Arial"/>
          <w:b/>
          <w:bCs/>
          <w:lang w:val="fr-FR"/>
        </w:rPr>
      </w:pPr>
      <w:r w:rsidRPr="0053284E">
        <w:rPr>
          <w:rFonts w:cs="Arial"/>
          <w:b/>
          <w:bCs/>
          <w:lang w:val="fr-FR"/>
        </w:rPr>
        <w:t xml:space="preserve">la loi modifiée du 5 août 2005 sur les contrats de garantie financière ; </w:t>
      </w:r>
    </w:p>
    <w:p w:rsidR="00CE75A1" w:rsidRPr="0053284E" w:rsidRDefault="00CE75A1" w:rsidP="00CE75A1">
      <w:pPr>
        <w:numPr>
          <w:ilvl w:val="1"/>
          <w:numId w:val="12"/>
        </w:numPr>
        <w:autoSpaceDE w:val="0"/>
        <w:autoSpaceDN w:val="0"/>
        <w:adjustRightInd w:val="0"/>
        <w:spacing w:after="0" w:afterAutospacing="1" w:line="240" w:lineRule="auto"/>
        <w:ind w:left="1560" w:hanging="480"/>
        <w:rPr>
          <w:rFonts w:cs="Arial"/>
          <w:b/>
          <w:bCs/>
          <w:lang w:val="fr-FR"/>
        </w:rPr>
      </w:pPr>
      <w:r w:rsidRPr="0053284E">
        <w:rPr>
          <w:rFonts w:cs="Arial"/>
          <w:b/>
          <w:bCs/>
          <w:lang w:val="fr-FR"/>
        </w:rPr>
        <w:t xml:space="preserve">la loi modifiée du 30 mai 2018 relative aux marchés d’instruments financiers; </w:t>
      </w:r>
    </w:p>
    <w:p w:rsidR="00FA3E90" w:rsidRDefault="00CE75A1" w:rsidP="00FA3E90">
      <w:pPr>
        <w:pStyle w:val="Body"/>
        <w:tabs>
          <w:tab w:val="center" w:pos="4150"/>
          <w:tab w:val="left" w:pos="6075"/>
        </w:tabs>
        <w:spacing w:after="120" w:line="276" w:lineRule="auto"/>
        <w:jc w:val="both"/>
        <w:rPr>
          <w:rFonts w:ascii="Arial" w:hAnsi="Arial" w:cs="Arial"/>
          <w:b/>
          <w:bCs/>
          <w:sz w:val="22"/>
          <w:szCs w:val="22"/>
        </w:rPr>
      </w:pPr>
      <w:r w:rsidRPr="0053284E">
        <w:rPr>
          <w:rFonts w:ascii="Arial" w:hAnsi="Arial" w:cs="Arial"/>
          <w:b/>
          <w:bCs/>
          <w:sz w:val="22"/>
          <w:szCs w:val="22"/>
        </w:rPr>
        <w:t xml:space="preserve">2° </w:t>
      </w:r>
      <w:r w:rsidRPr="0053284E">
        <w:rPr>
          <w:rFonts w:ascii="Arial" w:hAnsi="Arial" w:cs="Arial"/>
          <w:b/>
          <w:bCs/>
          <w:sz w:val="22"/>
          <w:szCs w:val="22"/>
        </w:rPr>
        <w:tab/>
        <w:t>mise en œuvre du règlement (UE) 2022/858 du Parlement européen et du Conseil du 30 mai 2022 sur un régime pilote pour les infrastructures de marché reposant sur la technologie des registres distribués, et modifiant les règlements (UE) n° 600/2014 et (UE) n° 909/2014 et la directive 2014/65/UE</w:t>
      </w:r>
    </w:p>
    <w:p w:rsidR="00AB7A44" w:rsidRPr="00FA3E90" w:rsidRDefault="00FA3E90" w:rsidP="00FA3E90">
      <w:pPr>
        <w:pStyle w:val="Body"/>
        <w:tabs>
          <w:tab w:val="center" w:pos="4150"/>
          <w:tab w:val="left" w:pos="6075"/>
        </w:tabs>
        <w:spacing w:line="276" w:lineRule="auto"/>
        <w:jc w:val="both"/>
        <w:rPr>
          <w:rFonts w:ascii="Arial" w:eastAsia="Arial" w:hAnsi="Arial" w:cs="Arial"/>
          <w:sz w:val="22"/>
          <w:szCs w:val="22"/>
        </w:rPr>
      </w:pPr>
      <w:r w:rsidRPr="00FA3E90">
        <w:rPr>
          <w:rFonts w:ascii="Arial" w:hAnsi="Arial" w:cs="Arial"/>
          <w:sz w:val="22"/>
          <w:szCs w:val="22"/>
          <w:lang w:val="fr-CH"/>
        </w:rPr>
        <w:t>L</w:t>
      </w:r>
      <w:r w:rsidR="00AB7A44" w:rsidRPr="00FA3E90">
        <w:rPr>
          <w:rFonts w:ascii="Arial" w:hAnsi="Arial" w:cs="Arial"/>
          <w:sz w:val="22"/>
          <w:szCs w:val="22"/>
          <w:lang w:val="fr-CH"/>
        </w:rPr>
        <w:t>a loi en projet sous rubrique a pour objet principal la mise en œuvre du règlement (UE) 2022/858 du Parlement européen et du Conseil du 30 mai 2022 sur un régime pilote pour les infrastructures de marché reposant sur la technologie des registres distribués, et modifiant les règlements (UE) n° 600/2014 et (UE) n° 909/2014 et la directive 2014/65/UE (ci-après « règlement (UE) 2022/858 »). Par ailleurs, il apporte une clarification utile à la loi modifiée du 5 août 2005 sur les contrats de garantie financière visant à reconnaître explicitement la possibilité de recourir à la technologie des registres distribués (DLT) en matière de garanties financières.</w:t>
      </w:r>
    </w:p>
    <w:p w:rsidR="00AB7A44" w:rsidRPr="00FA3E90" w:rsidRDefault="00AB7A44" w:rsidP="00AB7A44">
      <w:pPr>
        <w:spacing w:after="0" w:line="240" w:lineRule="auto"/>
        <w:rPr>
          <w:rFonts w:cs="Arial"/>
          <w:lang w:val="fr-CH"/>
        </w:rPr>
      </w:pPr>
    </w:p>
    <w:p w:rsidR="00AB7A44" w:rsidRPr="00AB7A44" w:rsidRDefault="00AB7A44" w:rsidP="00AB7A44">
      <w:pPr>
        <w:spacing w:after="0" w:line="240" w:lineRule="auto"/>
        <w:rPr>
          <w:rFonts w:cs="Arial"/>
          <w:lang w:val="fr-CH"/>
        </w:rPr>
      </w:pPr>
      <w:r w:rsidRPr="00AB7A44">
        <w:rPr>
          <w:rFonts w:cs="Arial"/>
          <w:lang w:val="fr-CH"/>
        </w:rPr>
        <w:t>Le règlement (UE) 2022/858 introduit un régime pilote qui permet aux autorités compétentes nationales d'exempter temporairement les infrastructures de marché DLT de certaines exigences imposées par la législation existante aux infrastructures de marché traditionnelles. Le régime pilote est ainsi conçu pour éviter que ces exigences n’empêchent les exploitants de telles infrastructures de concevoir des solutions pour la négociation et le règlement des transactions sur des crypto-actifs assimilés à des instruments financiers, sans pour autant affaiblir les exigences et les garanties existantes qui s'appliquent aux infrastructures de marché traditionnelles. Dans ce contexte, le règlement (UE) 2022/858 modifie la définition d’instruments financiers figurant dans la directive 2014/65/UE</w:t>
      </w:r>
      <w:r w:rsidRPr="00AB7A44">
        <w:rPr>
          <w:rFonts w:cs="Arial"/>
          <w:vertAlign w:val="superscript"/>
          <w:lang w:val="fr-CH"/>
        </w:rPr>
        <w:footnoteReference w:id="1"/>
      </w:r>
      <w:r w:rsidRPr="00AB7A44">
        <w:rPr>
          <w:rFonts w:cs="Arial"/>
          <w:lang w:val="fr-CH"/>
        </w:rPr>
        <w:t xml:space="preserve"> afin d’inclure les instruments financiers émis au moyen de la technologie des registres distribués. Cette modification implique </w:t>
      </w:r>
      <w:r w:rsidRPr="00AB7A44">
        <w:rPr>
          <w:rFonts w:cs="Arial"/>
          <w:lang w:val="fr-FR"/>
        </w:rPr>
        <w:t>l’adaptation par la loi en projet de la définition de la notion d’instruments financiers dans les deux lois qui ont contribué à la transposition de la directive précitée, à savoir les lois modifiées du 5 avril 1993 relative au secteur financier et du 30 mai 2018 relative aux marchés d’instruments financiers.</w:t>
      </w:r>
    </w:p>
    <w:p w:rsidR="00AB7A44" w:rsidRDefault="00AB7A44" w:rsidP="00AB7A44">
      <w:pPr>
        <w:autoSpaceDE w:val="0"/>
        <w:autoSpaceDN w:val="0"/>
        <w:adjustRightInd w:val="0"/>
        <w:spacing w:after="0" w:line="240" w:lineRule="auto"/>
        <w:rPr>
          <w:rFonts w:cs="Arial"/>
          <w:lang w:val="fr-CH"/>
        </w:rPr>
      </w:pPr>
    </w:p>
    <w:p w:rsidR="00AB7A44" w:rsidRPr="00AB7A44" w:rsidRDefault="00AB7A44" w:rsidP="00AB7A44">
      <w:pPr>
        <w:autoSpaceDE w:val="0"/>
        <w:autoSpaceDN w:val="0"/>
        <w:adjustRightInd w:val="0"/>
        <w:spacing w:after="0" w:line="240" w:lineRule="auto"/>
        <w:rPr>
          <w:rFonts w:cs="Arial"/>
          <w:lang w:val="fr-CH"/>
        </w:rPr>
      </w:pPr>
      <w:r w:rsidRPr="00AB7A44">
        <w:rPr>
          <w:rFonts w:cs="Arial"/>
          <w:lang w:val="fr-CH"/>
        </w:rPr>
        <w:t>De surcroît, la loi en projet apporte une modification ciblée à la loi modifiée du 5 août 2005 sur les contrats de garantie financière afin de reconnaître explicitement la possibilité de recourir à la technologie DLT en matière de garanties financières. La clarification opérée s’inscrit dès lors dans la continuité des lois du 1</w:t>
      </w:r>
      <w:r w:rsidRPr="00AB7A44">
        <w:rPr>
          <w:rFonts w:cs="Arial"/>
          <w:vertAlign w:val="superscript"/>
          <w:lang w:val="fr-CH"/>
        </w:rPr>
        <w:t>er</w:t>
      </w:r>
      <w:r w:rsidRPr="00AB7A44">
        <w:rPr>
          <w:rFonts w:cs="Arial"/>
          <w:lang w:val="fr-CH"/>
        </w:rPr>
        <w:t xml:space="preserve"> mars 2019 et du 22 janvier 2021 relatives à la technologie blockchain (dites « lois Blockchain I et II ») et vise à permettre aux acteurs concernés de saisir, en toute sécurité juridique, les opportunités offertes par les technologies innovantes, telles que la technologie DLT.</w:t>
      </w:r>
    </w:p>
    <w:p w:rsidR="00AB7A44" w:rsidRDefault="00AB7A44" w:rsidP="00AB7A44">
      <w:pPr>
        <w:spacing w:after="0" w:line="240" w:lineRule="auto"/>
        <w:rPr>
          <w:rFonts w:cs="Arial"/>
          <w:lang w:val="fr-CH"/>
        </w:rPr>
      </w:pPr>
    </w:p>
    <w:p w:rsidR="00895247" w:rsidRPr="00F826AC" w:rsidRDefault="00895247" w:rsidP="00670BFF">
      <w:pPr>
        <w:spacing w:after="0" w:line="276" w:lineRule="auto"/>
        <w:rPr>
          <w:rFonts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E5" w:rsidRDefault="003F6BE5" w:rsidP="006E6CEA">
      <w:pPr>
        <w:spacing w:after="0" w:line="240" w:lineRule="auto"/>
      </w:pPr>
      <w:r>
        <w:separator/>
      </w:r>
    </w:p>
  </w:endnote>
  <w:endnote w:type="continuationSeparator" w:id="0">
    <w:p w:rsidR="003F6BE5" w:rsidRDefault="003F6BE5"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D85E45" w:rsidRPr="00D85E45">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E5" w:rsidRDefault="003F6BE5" w:rsidP="006E6CEA">
      <w:pPr>
        <w:spacing w:after="0" w:line="240" w:lineRule="auto"/>
      </w:pPr>
      <w:r>
        <w:separator/>
      </w:r>
    </w:p>
  </w:footnote>
  <w:footnote w:type="continuationSeparator" w:id="0">
    <w:p w:rsidR="003F6BE5" w:rsidRDefault="003F6BE5" w:rsidP="006E6CEA">
      <w:pPr>
        <w:spacing w:after="0" w:line="240" w:lineRule="auto"/>
      </w:pPr>
      <w:r>
        <w:continuationSeparator/>
      </w:r>
    </w:p>
  </w:footnote>
  <w:footnote w:id="1">
    <w:p w:rsidR="00AB7A44" w:rsidRPr="006F45AE" w:rsidRDefault="00AB7A44" w:rsidP="00AB7A44">
      <w:pPr>
        <w:pStyle w:val="Notedebasdepage"/>
        <w:rPr>
          <w:lang w:val="fr-CH"/>
        </w:rPr>
      </w:pPr>
      <w:r>
        <w:rPr>
          <w:rStyle w:val="Appelnotedebasdep"/>
        </w:rPr>
        <w:footnoteRef/>
      </w:r>
      <w:r w:rsidRPr="00DD60F9">
        <w:rPr>
          <w:lang w:val="fr-FR"/>
        </w:rPr>
        <w:t xml:space="preserve"> </w:t>
      </w:r>
      <w:r w:rsidRPr="00944AF1">
        <w:rPr>
          <w:lang w:val="fr-CH"/>
        </w:rPr>
        <w:t>directive 2014/65/UE du Parlement européen et du</w:t>
      </w:r>
      <w:r>
        <w:rPr>
          <w:lang w:val="fr-CH"/>
        </w:rPr>
        <w:t xml:space="preserve"> </w:t>
      </w:r>
      <w:r w:rsidRPr="00944AF1">
        <w:rPr>
          <w:lang w:val="fr-CH"/>
        </w:rPr>
        <w:t>Conseil du 15 mai 2014 concernant les marchés d'instruments financiers et modifiant la directive</w:t>
      </w:r>
      <w:r>
        <w:rPr>
          <w:lang w:val="fr-CH"/>
        </w:rPr>
        <w:t xml:space="preserve"> </w:t>
      </w:r>
      <w:r w:rsidRPr="00944AF1">
        <w:rPr>
          <w:lang w:val="fr-CH"/>
        </w:rPr>
        <w:t xml:space="preserve">2002/92/CE et la directive 2011/61/UE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7953BD3"/>
    <w:multiLevelType w:val="multilevel"/>
    <w:tmpl w:val="AD3C4800"/>
    <w:lvl w:ilvl="0">
      <w:start w:val="1"/>
      <w:numFmt w:val="none"/>
      <w:pStyle w:val="1Articles"/>
      <w:lvlText w:val=""/>
      <w:lvlJc w:val="left"/>
      <w:pPr>
        <w:ind w:left="1068" w:hanging="360"/>
      </w:pPr>
      <w:rPr>
        <w:rFonts w:hint="default"/>
      </w:rPr>
    </w:lvl>
    <w:lvl w:ilvl="1">
      <w:start w:val="1"/>
      <w:numFmt w:val="decimal"/>
      <w:pStyle w:val="2Paragraphes"/>
      <w:lvlText w:val="(%2)"/>
      <w:lvlJc w:val="left"/>
      <w:pPr>
        <w:ind w:left="502" w:hanging="360"/>
      </w:pPr>
      <w:rPr>
        <w:rFonts w:hint="default"/>
      </w:rPr>
    </w:lvl>
    <w:lvl w:ilvl="2">
      <w:start w:val="1"/>
      <w:numFmt w:val="decimal"/>
      <w:lvlText w:val="%3°"/>
      <w:lvlJc w:val="right"/>
      <w:pPr>
        <w:ind w:left="2508" w:hanging="180"/>
      </w:pPr>
      <w:rPr>
        <w:rFonts w:hint="default"/>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447BAE"/>
    <w:multiLevelType w:val="hybridMultilevel"/>
    <w:tmpl w:val="39C6D686"/>
    <w:lvl w:ilvl="0" w:tplc="0409000F">
      <w:start w:val="1"/>
      <w:numFmt w:val="decimal"/>
      <w:lvlText w:val="%1."/>
      <w:lvlJc w:val="left"/>
      <w:pPr>
        <w:ind w:left="720" w:hanging="360"/>
      </w:pPr>
    </w:lvl>
    <w:lvl w:ilvl="1" w:tplc="79682D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F3A4B"/>
    <w:multiLevelType w:val="hybridMultilevel"/>
    <w:tmpl w:val="2340BF6A"/>
    <w:lvl w:ilvl="0" w:tplc="B442E36C">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78E11154"/>
    <w:multiLevelType w:val="hybridMultilevel"/>
    <w:tmpl w:val="23F27AE6"/>
    <w:lvl w:ilvl="0" w:tplc="1EAC384C">
      <w:start w:val="1"/>
      <w:numFmt w:val="lowerLetter"/>
      <w:pStyle w:val="3Points"/>
      <w:lvlText w:val="%1)"/>
      <w:lvlJc w:val="left"/>
      <w:pPr>
        <w:ind w:left="1211" w:hanging="360"/>
      </w:p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pStyle w:val="4Petiteslettres"/>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num w:numId="1">
    <w:abstractNumId w:val="8"/>
  </w:num>
  <w:num w:numId="2">
    <w:abstractNumId w:val="2"/>
  </w:num>
  <w:num w:numId="3">
    <w:abstractNumId w:val="4"/>
  </w:num>
  <w:num w:numId="4">
    <w:abstractNumId w:val="6"/>
  </w:num>
  <w:num w:numId="5">
    <w:abstractNumId w:val="3"/>
  </w:num>
  <w:num w:numId="6">
    <w:abstractNumId w:val="9"/>
  </w:num>
  <w:num w:numId="7">
    <w:abstractNumId w:val="10"/>
  </w:num>
  <w:num w:numId="8">
    <w:abstractNumId w:val="0"/>
  </w:num>
  <w:num w:numId="9">
    <w:abstractNumId w:val="1"/>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0CCC"/>
    <w:rsid w:val="0002273C"/>
    <w:rsid w:val="00032612"/>
    <w:rsid w:val="000369A2"/>
    <w:rsid w:val="000762ED"/>
    <w:rsid w:val="000864BE"/>
    <w:rsid w:val="00093FA5"/>
    <w:rsid w:val="000A2B70"/>
    <w:rsid w:val="000C1546"/>
    <w:rsid w:val="000E235A"/>
    <w:rsid w:val="000F5978"/>
    <w:rsid w:val="000F79D9"/>
    <w:rsid w:val="0010111B"/>
    <w:rsid w:val="00121747"/>
    <w:rsid w:val="00124094"/>
    <w:rsid w:val="0012409A"/>
    <w:rsid w:val="00142968"/>
    <w:rsid w:val="00151367"/>
    <w:rsid w:val="00161A8B"/>
    <w:rsid w:val="0016507E"/>
    <w:rsid w:val="00170E30"/>
    <w:rsid w:val="00185938"/>
    <w:rsid w:val="0018630C"/>
    <w:rsid w:val="00192479"/>
    <w:rsid w:val="001933D1"/>
    <w:rsid w:val="001A6A33"/>
    <w:rsid w:val="001B6A4B"/>
    <w:rsid w:val="001D0C85"/>
    <w:rsid w:val="001D6EC9"/>
    <w:rsid w:val="001F0520"/>
    <w:rsid w:val="00211CBE"/>
    <w:rsid w:val="00213A22"/>
    <w:rsid w:val="0022485B"/>
    <w:rsid w:val="00236420"/>
    <w:rsid w:val="0025095D"/>
    <w:rsid w:val="00253BB1"/>
    <w:rsid w:val="0025517B"/>
    <w:rsid w:val="00256F61"/>
    <w:rsid w:val="0027387E"/>
    <w:rsid w:val="002750A4"/>
    <w:rsid w:val="002851C5"/>
    <w:rsid w:val="00294BA1"/>
    <w:rsid w:val="00295BAF"/>
    <w:rsid w:val="002A3C88"/>
    <w:rsid w:val="002B405F"/>
    <w:rsid w:val="002B552F"/>
    <w:rsid w:val="002C016A"/>
    <w:rsid w:val="002F0ADB"/>
    <w:rsid w:val="002F1C8D"/>
    <w:rsid w:val="002F3B16"/>
    <w:rsid w:val="00304830"/>
    <w:rsid w:val="0031220B"/>
    <w:rsid w:val="0031525C"/>
    <w:rsid w:val="00327C43"/>
    <w:rsid w:val="0033142D"/>
    <w:rsid w:val="00354A59"/>
    <w:rsid w:val="00380145"/>
    <w:rsid w:val="003C10A7"/>
    <w:rsid w:val="003D681E"/>
    <w:rsid w:val="003E44E2"/>
    <w:rsid w:val="003F2C1C"/>
    <w:rsid w:val="003F35ED"/>
    <w:rsid w:val="003F5E23"/>
    <w:rsid w:val="003F6BE5"/>
    <w:rsid w:val="00415EDF"/>
    <w:rsid w:val="00426CEF"/>
    <w:rsid w:val="00437FF5"/>
    <w:rsid w:val="0045119A"/>
    <w:rsid w:val="00451E29"/>
    <w:rsid w:val="004534B4"/>
    <w:rsid w:val="004545A3"/>
    <w:rsid w:val="004571A0"/>
    <w:rsid w:val="00457D17"/>
    <w:rsid w:val="00457E34"/>
    <w:rsid w:val="00473A10"/>
    <w:rsid w:val="00495E9F"/>
    <w:rsid w:val="004A1E95"/>
    <w:rsid w:val="004A2837"/>
    <w:rsid w:val="004C1EEC"/>
    <w:rsid w:val="004D65AF"/>
    <w:rsid w:val="004F12BA"/>
    <w:rsid w:val="004F4E30"/>
    <w:rsid w:val="00504726"/>
    <w:rsid w:val="00506134"/>
    <w:rsid w:val="005117A6"/>
    <w:rsid w:val="00514EBC"/>
    <w:rsid w:val="005234F0"/>
    <w:rsid w:val="0053284E"/>
    <w:rsid w:val="00551798"/>
    <w:rsid w:val="00561E2B"/>
    <w:rsid w:val="00565FED"/>
    <w:rsid w:val="00585B1F"/>
    <w:rsid w:val="005969DE"/>
    <w:rsid w:val="005A2AF3"/>
    <w:rsid w:val="005A5799"/>
    <w:rsid w:val="005A57B6"/>
    <w:rsid w:val="005B5C56"/>
    <w:rsid w:val="005D1906"/>
    <w:rsid w:val="00601092"/>
    <w:rsid w:val="00602AF5"/>
    <w:rsid w:val="006046AB"/>
    <w:rsid w:val="00612ABB"/>
    <w:rsid w:val="006135EC"/>
    <w:rsid w:val="00620BC3"/>
    <w:rsid w:val="00625343"/>
    <w:rsid w:val="00630E07"/>
    <w:rsid w:val="006527DD"/>
    <w:rsid w:val="00670BFF"/>
    <w:rsid w:val="00671C5C"/>
    <w:rsid w:val="00673561"/>
    <w:rsid w:val="00687980"/>
    <w:rsid w:val="006911D0"/>
    <w:rsid w:val="006A07E7"/>
    <w:rsid w:val="006B25FC"/>
    <w:rsid w:val="006C4A23"/>
    <w:rsid w:val="006E6CEA"/>
    <w:rsid w:val="006F1000"/>
    <w:rsid w:val="006F2E55"/>
    <w:rsid w:val="00706293"/>
    <w:rsid w:val="007265A3"/>
    <w:rsid w:val="007344C3"/>
    <w:rsid w:val="00744F76"/>
    <w:rsid w:val="0074793B"/>
    <w:rsid w:val="00752348"/>
    <w:rsid w:val="00787E73"/>
    <w:rsid w:val="007942C7"/>
    <w:rsid w:val="007965F7"/>
    <w:rsid w:val="007B258F"/>
    <w:rsid w:val="007B6472"/>
    <w:rsid w:val="007B6C97"/>
    <w:rsid w:val="007C160B"/>
    <w:rsid w:val="007D39A0"/>
    <w:rsid w:val="007D57D1"/>
    <w:rsid w:val="007F344E"/>
    <w:rsid w:val="007F6BD3"/>
    <w:rsid w:val="00802625"/>
    <w:rsid w:val="008316E5"/>
    <w:rsid w:val="00835FB4"/>
    <w:rsid w:val="00842D7C"/>
    <w:rsid w:val="00860053"/>
    <w:rsid w:val="00860178"/>
    <w:rsid w:val="008621B5"/>
    <w:rsid w:val="008660C7"/>
    <w:rsid w:val="00885ED7"/>
    <w:rsid w:val="00895247"/>
    <w:rsid w:val="008D2E3F"/>
    <w:rsid w:val="008F010C"/>
    <w:rsid w:val="0092477B"/>
    <w:rsid w:val="009278CA"/>
    <w:rsid w:val="00930661"/>
    <w:rsid w:val="009321B5"/>
    <w:rsid w:val="009412F4"/>
    <w:rsid w:val="00944DDD"/>
    <w:rsid w:val="00951B22"/>
    <w:rsid w:val="00955836"/>
    <w:rsid w:val="00957D98"/>
    <w:rsid w:val="009603F8"/>
    <w:rsid w:val="009870DC"/>
    <w:rsid w:val="009964F5"/>
    <w:rsid w:val="009B505C"/>
    <w:rsid w:val="009C0799"/>
    <w:rsid w:val="009C1258"/>
    <w:rsid w:val="009D0955"/>
    <w:rsid w:val="009D0E64"/>
    <w:rsid w:val="009D3856"/>
    <w:rsid w:val="009E75AE"/>
    <w:rsid w:val="00A2144D"/>
    <w:rsid w:val="00A349A8"/>
    <w:rsid w:val="00A53E99"/>
    <w:rsid w:val="00A63AE6"/>
    <w:rsid w:val="00A8144E"/>
    <w:rsid w:val="00AA0D6B"/>
    <w:rsid w:val="00AB190B"/>
    <w:rsid w:val="00AB49F1"/>
    <w:rsid w:val="00AB7A44"/>
    <w:rsid w:val="00AD29DF"/>
    <w:rsid w:val="00B03BD1"/>
    <w:rsid w:val="00B12B27"/>
    <w:rsid w:val="00B204B5"/>
    <w:rsid w:val="00B20AEC"/>
    <w:rsid w:val="00B336BD"/>
    <w:rsid w:val="00B40F46"/>
    <w:rsid w:val="00B54A71"/>
    <w:rsid w:val="00B648AA"/>
    <w:rsid w:val="00B73EAC"/>
    <w:rsid w:val="00B8059D"/>
    <w:rsid w:val="00B84890"/>
    <w:rsid w:val="00B95560"/>
    <w:rsid w:val="00BA11CD"/>
    <w:rsid w:val="00BA57D1"/>
    <w:rsid w:val="00BA5D14"/>
    <w:rsid w:val="00BB6D4C"/>
    <w:rsid w:val="00BF1325"/>
    <w:rsid w:val="00C00C43"/>
    <w:rsid w:val="00C05F8E"/>
    <w:rsid w:val="00C24E93"/>
    <w:rsid w:val="00C47040"/>
    <w:rsid w:val="00C51C4E"/>
    <w:rsid w:val="00C53B16"/>
    <w:rsid w:val="00C574E0"/>
    <w:rsid w:val="00C626D7"/>
    <w:rsid w:val="00C70E8A"/>
    <w:rsid w:val="00C86BA6"/>
    <w:rsid w:val="00CA22DB"/>
    <w:rsid w:val="00CB5C9E"/>
    <w:rsid w:val="00CC46DF"/>
    <w:rsid w:val="00CE7012"/>
    <w:rsid w:val="00CE75A1"/>
    <w:rsid w:val="00CE7957"/>
    <w:rsid w:val="00CF6BB4"/>
    <w:rsid w:val="00D00C76"/>
    <w:rsid w:val="00D10D04"/>
    <w:rsid w:val="00D63B39"/>
    <w:rsid w:val="00D66D49"/>
    <w:rsid w:val="00D752D4"/>
    <w:rsid w:val="00D85E45"/>
    <w:rsid w:val="00D86C4D"/>
    <w:rsid w:val="00D97E3C"/>
    <w:rsid w:val="00DB0A9D"/>
    <w:rsid w:val="00DB1D0C"/>
    <w:rsid w:val="00E02A9D"/>
    <w:rsid w:val="00E072B7"/>
    <w:rsid w:val="00E131E5"/>
    <w:rsid w:val="00E14DA9"/>
    <w:rsid w:val="00E15212"/>
    <w:rsid w:val="00E22A4E"/>
    <w:rsid w:val="00E309FD"/>
    <w:rsid w:val="00E32A69"/>
    <w:rsid w:val="00E3772A"/>
    <w:rsid w:val="00E526B7"/>
    <w:rsid w:val="00E56689"/>
    <w:rsid w:val="00E81153"/>
    <w:rsid w:val="00E842D2"/>
    <w:rsid w:val="00E86159"/>
    <w:rsid w:val="00E9258F"/>
    <w:rsid w:val="00E93021"/>
    <w:rsid w:val="00E94268"/>
    <w:rsid w:val="00EA55AA"/>
    <w:rsid w:val="00EA5E53"/>
    <w:rsid w:val="00EB19B7"/>
    <w:rsid w:val="00EB2727"/>
    <w:rsid w:val="00EB42A7"/>
    <w:rsid w:val="00EE4B02"/>
    <w:rsid w:val="00F007BB"/>
    <w:rsid w:val="00F01E99"/>
    <w:rsid w:val="00F050BC"/>
    <w:rsid w:val="00F15F71"/>
    <w:rsid w:val="00F17015"/>
    <w:rsid w:val="00F27547"/>
    <w:rsid w:val="00F54570"/>
    <w:rsid w:val="00F60E44"/>
    <w:rsid w:val="00F70E36"/>
    <w:rsid w:val="00F826AC"/>
    <w:rsid w:val="00F9703B"/>
    <w:rsid w:val="00FA2F04"/>
    <w:rsid w:val="00FA3E90"/>
    <w:rsid w:val="00FA6F8F"/>
    <w:rsid w:val="00FC101A"/>
    <w:rsid w:val="00FC2511"/>
    <w:rsid w:val="00FC5B6F"/>
    <w:rsid w:val="00FD42D0"/>
    <w:rsid w:val="00FE1D6A"/>
    <w:rsid w:val="00FF1814"/>
    <w:rsid w:val="00FF434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F49DC2-4E1B-4057-B066-E5B38B1E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45"/>
    <w:pPr>
      <w:spacing w:after="16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1F0520"/>
    <w:pPr>
      <w:keepNext/>
      <w:keepLines/>
      <w:spacing w:after="240" w:line="240" w:lineRule="auto"/>
      <w:outlineLvl w:val="0"/>
    </w:pPr>
    <w:rPr>
      <w:rFonts w:eastAsia="Times New Roman"/>
      <w:b/>
      <w:bCs/>
      <w:sz w:val="24"/>
      <w:szCs w:val="28"/>
      <w:lang w:val="de-LU"/>
    </w:rPr>
  </w:style>
  <w:style w:type="paragraph" w:styleId="Titre2">
    <w:name w:val="heading 2"/>
    <w:basedOn w:val="Normal"/>
    <w:next w:val="Normal"/>
    <w:link w:val="Titre2Car"/>
    <w:uiPriority w:val="9"/>
    <w:unhideWhenUsed/>
    <w:qFormat/>
    <w:rsid w:val="002B552F"/>
    <w:pPr>
      <w:keepNext/>
      <w:keepLines/>
      <w:spacing w:before="40" w:after="0" w:line="240" w:lineRule="auto"/>
      <w:jc w:val="left"/>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pPr>
    <w:rPr>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eastAsia="Times New Roman"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customStyle="1" w:styleId="Titre1Car">
    <w:name w:val="Titre 1 Car"/>
    <w:link w:val="Titre1"/>
    <w:uiPriority w:val="9"/>
    <w:rsid w:val="001F0520"/>
    <w:rPr>
      <w:rFonts w:eastAsia="Times New Roman" w:cs="Times New Roman"/>
      <w:b/>
      <w:bCs/>
      <w:sz w:val="24"/>
      <w:szCs w:val="28"/>
      <w:lang w:val="de-LU" w:eastAsia="en-US"/>
    </w:rPr>
  </w:style>
  <w:style w:type="paragraph" w:styleId="Notedebasdepage">
    <w:name w:val="footnote text"/>
    <w:basedOn w:val="Normal"/>
    <w:link w:val="NotedebasdepageCar"/>
    <w:uiPriority w:val="99"/>
    <w:semiHidden/>
    <w:unhideWhenUsed/>
    <w:rsid w:val="00787E73"/>
    <w:pPr>
      <w:spacing w:after="0" w:line="240" w:lineRule="auto"/>
    </w:pPr>
    <w:rPr>
      <w:sz w:val="20"/>
      <w:szCs w:val="20"/>
    </w:rPr>
  </w:style>
  <w:style w:type="character" w:customStyle="1" w:styleId="NotedebasdepageCar">
    <w:name w:val="Note de bas de page Car"/>
    <w:link w:val="Notedebasdepage"/>
    <w:uiPriority w:val="99"/>
    <w:semiHidden/>
    <w:rsid w:val="00787E73"/>
    <w:rPr>
      <w:lang w:eastAsia="en-US"/>
    </w:rPr>
  </w:style>
  <w:style w:type="character" w:styleId="Appelnotedebasdep">
    <w:name w:val="footnote reference"/>
    <w:uiPriority w:val="99"/>
    <w:unhideWhenUsed/>
    <w:rsid w:val="00787E73"/>
    <w:rPr>
      <w:vertAlign w:val="superscript"/>
    </w:rPr>
  </w:style>
  <w:style w:type="paragraph" w:styleId="Textedebulles">
    <w:name w:val="Balloon Text"/>
    <w:basedOn w:val="Normal"/>
    <w:link w:val="TextedebullesCar"/>
    <w:uiPriority w:val="99"/>
    <w:semiHidden/>
    <w:unhideWhenUsed/>
    <w:rsid w:val="004571A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571A0"/>
    <w:rPr>
      <w:rFonts w:ascii="Segoe UI" w:hAnsi="Segoe UI" w:cs="Segoe UI"/>
      <w:sz w:val="18"/>
      <w:szCs w:val="18"/>
      <w:lang w:eastAsia="en-US"/>
    </w:rPr>
  </w:style>
  <w:style w:type="paragraph" w:customStyle="1" w:styleId="1Articles">
    <w:name w:val="1. Articles"/>
    <w:basedOn w:val="Normal"/>
    <w:link w:val="1ArticlesCar"/>
    <w:qFormat/>
    <w:rsid w:val="00F70E36"/>
    <w:pPr>
      <w:numPr>
        <w:numId w:val="9"/>
      </w:numPr>
      <w:ind w:left="0" w:firstLine="0"/>
    </w:pPr>
    <w:rPr>
      <w:b/>
      <w:lang w:val="fr-FR"/>
    </w:rPr>
  </w:style>
  <w:style w:type="paragraph" w:customStyle="1" w:styleId="2Paragraphes">
    <w:name w:val="2. Paragraphes"/>
    <w:basedOn w:val="1Articles"/>
    <w:link w:val="2ParagraphesCar"/>
    <w:qFormat/>
    <w:rsid w:val="00F70E36"/>
    <w:pPr>
      <w:numPr>
        <w:ilvl w:val="1"/>
      </w:numPr>
      <w:ind w:left="0" w:firstLine="170"/>
    </w:pPr>
    <w:rPr>
      <w:b w:val="0"/>
    </w:rPr>
  </w:style>
  <w:style w:type="character" w:styleId="Accentuation">
    <w:name w:val="Emphasis"/>
    <w:uiPriority w:val="20"/>
    <w:qFormat/>
    <w:rsid w:val="00F70E36"/>
    <w:rPr>
      <w:i/>
      <w:iCs/>
    </w:rPr>
  </w:style>
  <w:style w:type="character" w:customStyle="1" w:styleId="1ArticlesCar">
    <w:name w:val="1. Articles Car"/>
    <w:link w:val="1Articles"/>
    <w:rsid w:val="00451E29"/>
    <w:rPr>
      <w:rFonts w:ascii="Arial" w:eastAsia="Calibri" w:hAnsi="Arial" w:cs="Times New Roman"/>
      <w:b/>
      <w:sz w:val="22"/>
      <w:szCs w:val="22"/>
      <w:lang w:val="fr-FR" w:eastAsia="en-US"/>
    </w:rPr>
  </w:style>
  <w:style w:type="paragraph" w:customStyle="1" w:styleId="3Points">
    <w:name w:val="3. Points"/>
    <w:basedOn w:val="2Paragraphes"/>
    <w:link w:val="3PointsCar"/>
    <w:qFormat/>
    <w:rsid w:val="00451E29"/>
    <w:pPr>
      <w:numPr>
        <w:ilvl w:val="0"/>
        <w:numId w:val="11"/>
      </w:numPr>
    </w:pPr>
  </w:style>
  <w:style w:type="character" w:customStyle="1" w:styleId="2ParagraphesCar">
    <w:name w:val="2. Paragraphes Car"/>
    <w:link w:val="2Paragraphes"/>
    <w:rsid w:val="00451E29"/>
    <w:rPr>
      <w:rFonts w:ascii="Arial" w:eastAsia="Calibri" w:hAnsi="Arial" w:cs="Times New Roman"/>
      <w:b w:val="0"/>
      <w:sz w:val="22"/>
      <w:szCs w:val="22"/>
      <w:lang w:val="fr-FR" w:eastAsia="en-US"/>
    </w:rPr>
  </w:style>
  <w:style w:type="paragraph" w:customStyle="1" w:styleId="4Petiteslettres">
    <w:name w:val="4. Petites lettres"/>
    <w:basedOn w:val="3Points"/>
    <w:qFormat/>
    <w:rsid w:val="00451E29"/>
    <w:pPr>
      <w:numPr>
        <w:ilvl w:val="3"/>
      </w:numPr>
      <w:ind w:left="1378" w:hanging="357"/>
    </w:pPr>
  </w:style>
  <w:style w:type="character" w:customStyle="1" w:styleId="3PointsCar">
    <w:name w:val="3. Points Car"/>
    <w:link w:val="3Points"/>
    <w:rsid w:val="00451E29"/>
    <w:rPr>
      <w:rFonts w:ascii="Arial" w:eastAsia="Calibri" w:hAnsi="Arial" w:cs="Times New Roman"/>
      <w:b w:val="0"/>
      <w:sz w:val="22"/>
      <w:szCs w:val="22"/>
      <w:lang w:val="fr-FR" w:eastAsia="en-US"/>
    </w:rPr>
  </w:style>
  <w:style w:type="character" w:customStyle="1" w:styleId="richtextli">
    <w:name w:val="richtext_li"/>
    <w:basedOn w:val="Policepardfaut"/>
    <w:rsid w:val="00451E29"/>
  </w:style>
  <w:style w:type="character" w:customStyle="1" w:styleId="Titre2Car">
    <w:name w:val="Titre 2 Car"/>
    <w:link w:val="Titre2"/>
    <w:uiPriority w:val="9"/>
    <w:rsid w:val="002B552F"/>
    <w:rPr>
      <w:rFonts w:ascii="Calibri Light" w:eastAsia="Times New Roman" w:hAnsi="Calibri Light" w:cs="Times New Roman"/>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604DA8-63A1-40FC-B327-6EAA51578F58}">
  <ds:schemaRefs>
    <ds:schemaRef ds:uri="http://schemas.openxmlformats.org/officeDocument/2006/bibliography"/>
  </ds:schemaRefs>
</ds:datastoreItem>
</file>

<file path=customXml/itemProps2.xml><?xml version="1.0" encoding="utf-8"?>
<ds:datastoreItem xmlns:ds="http://schemas.openxmlformats.org/officeDocument/2006/customXml" ds:itemID="{BDEB4957-2069-44CE-AD8A-DA1EFCD66647}"/>
</file>

<file path=customXml/itemProps3.xml><?xml version="1.0" encoding="utf-8"?>
<ds:datastoreItem xmlns:ds="http://schemas.openxmlformats.org/officeDocument/2006/customXml" ds:itemID="{65EEAC24-5136-4C64-9D47-0C29F52453A4}"/>
</file>

<file path=customXml/itemProps4.xml><?xml version="1.0" encoding="utf-8"?>
<ds:datastoreItem xmlns:ds="http://schemas.openxmlformats.org/officeDocument/2006/customXml" ds:itemID="{85D5BBDE-1ABB-49F9-BEC4-90F0BA8F42DF}"/>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2596</Characters>
  <Application>Microsoft Office Word</Application>
  <DocSecurity>4</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