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DF9" w:rsidRPr="00F84F4F" w:rsidRDefault="00394DF9" w:rsidP="00394DF9">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8050</w:t>
      </w:r>
    </w:p>
    <w:p w:rsidR="00394DF9" w:rsidRPr="00F84F4F" w:rsidRDefault="00394DF9" w:rsidP="00394DF9">
      <w:pPr>
        <w:autoSpaceDE w:val="0"/>
        <w:autoSpaceDN w:val="0"/>
        <w:adjustRightInd w:val="0"/>
        <w:spacing w:after="0" w:line="240" w:lineRule="auto"/>
        <w:jc w:val="center"/>
        <w:rPr>
          <w:rFonts w:ascii="Arial" w:hAnsi="Arial" w:cs="Arial"/>
          <w:b/>
          <w:bCs/>
          <w:sz w:val="16"/>
          <w:szCs w:val="16"/>
        </w:rPr>
      </w:pPr>
    </w:p>
    <w:p w:rsidR="00394DF9" w:rsidRPr="00F84F4F" w:rsidRDefault="00394DF9" w:rsidP="00394DF9">
      <w:pPr>
        <w:autoSpaceDE w:val="0"/>
        <w:autoSpaceDN w:val="0"/>
        <w:adjustRightInd w:val="0"/>
        <w:spacing w:after="0" w:line="240" w:lineRule="auto"/>
        <w:jc w:val="center"/>
        <w:rPr>
          <w:rFonts w:ascii="Arial" w:hAnsi="Arial" w:cs="Arial"/>
          <w:b/>
          <w:bCs/>
          <w:sz w:val="16"/>
          <w:szCs w:val="16"/>
        </w:rPr>
      </w:pPr>
    </w:p>
    <w:p w:rsidR="00394DF9" w:rsidRPr="00F84F4F" w:rsidRDefault="00394DF9" w:rsidP="00394DF9">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394DF9" w:rsidRPr="00F84F4F" w:rsidRDefault="00394DF9" w:rsidP="00394DF9">
      <w:pPr>
        <w:autoSpaceDE w:val="0"/>
        <w:autoSpaceDN w:val="0"/>
        <w:adjustRightInd w:val="0"/>
        <w:spacing w:after="0" w:line="240" w:lineRule="auto"/>
        <w:jc w:val="center"/>
        <w:rPr>
          <w:rFonts w:ascii="Arial" w:hAnsi="Arial" w:cs="Arial"/>
          <w:bCs/>
          <w:sz w:val="16"/>
          <w:szCs w:val="16"/>
        </w:rPr>
      </w:pPr>
    </w:p>
    <w:p w:rsidR="00394DF9" w:rsidRPr="00F84F4F" w:rsidRDefault="00394DF9" w:rsidP="00394DF9">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2022-2023</w:t>
      </w:r>
    </w:p>
    <w:p w:rsidR="00394DF9" w:rsidRPr="00F84F4F" w:rsidRDefault="00394DF9" w:rsidP="00394DF9">
      <w:pPr>
        <w:autoSpaceDE w:val="0"/>
        <w:autoSpaceDN w:val="0"/>
        <w:adjustRightInd w:val="0"/>
        <w:spacing w:after="0" w:line="240" w:lineRule="auto"/>
        <w:jc w:val="center"/>
        <w:rPr>
          <w:rFonts w:ascii="Arial" w:hAnsi="Arial" w:cs="Arial"/>
          <w:b/>
          <w:bCs/>
          <w:sz w:val="20"/>
          <w:szCs w:val="20"/>
        </w:rPr>
      </w:pPr>
    </w:p>
    <w:p w:rsidR="00394DF9" w:rsidRPr="00F84F4F" w:rsidRDefault="00394DF9" w:rsidP="00394DF9">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394DF9" w:rsidRPr="00F84F4F" w:rsidRDefault="00394DF9" w:rsidP="00394DF9">
      <w:pPr>
        <w:autoSpaceDE w:val="0"/>
        <w:autoSpaceDN w:val="0"/>
        <w:adjustRightInd w:val="0"/>
        <w:spacing w:after="0" w:line="240" w:lineRule="auto"/>
        <w:jc w:val="center"/>
        <w:rPr>
          <w:rFonts w:ascii="Arial" w:hAnsi="Arial" w:cs="Arial"/>
          <w:b/>
          <w:bCs/>
          <w:sz w:val="20"/>
          <w:szCs w:val="20"/>
        </w:rPr>
      </w:pPr>
    </w:p>
    <w:p w:rsidR="00394DF9" w:rsidRPr="00F84F4F" w:rsidRDefault="00394DF9" w:rsidP="00394DF9">
      <w:pPr>
        <w:autoSpaceDE w:val="0"/>
        <w:autoSpaceDN w:val="0"/>
        <w:adjustRightInd w:val="0"/>
        <w:spacing w:after="0" w:line="240" w:lineRule="auto"/>
        <w:jc w:val="center"/>
        <w:rPr>
          <w:rFonts w:ascii="Arial" w:hAnsi="Arial" w:cs="Arial"/>
          <w:b/>
          <w:bCs/>
          <w:sz w:val="20"/>
          <w:szCs w:val="20"/>
        </w:rPr>
      </w:pPr>
    </w:p>
    <w:p w:rsidR="00394DF9" w:rsidRPr="00F56257" w:rsidRDefault="00394DF9" w:rsidP="00394DF9">
      <w:pPr>
        <w:pStyle w:val="Textebrut"/>
        <w:jc w:val="center"/>
        <w:rPr>
          <w:rFonts w:ascii="Arial" w:hAnsi="Arial" w:cs="Arial"/>
          <w:b/>
          <w:bCs/>
          <w:color w:val="FF0000"/>
          <w:sz w:val="22"/>
          <w:szCs w:val="22"/>
        </w:rPr>
      </w:pPr>
    </w:p>
    <w:p w:rsidR="00394DF9" w:rsidRPr="005C7CFA" w:rsidRDefault="00394DF9" w:rsidP="00394DF9">
      <w:pPr>
        <w:pStyle w:val="Textebrut"/>
        <w:jc w:val="center"/>
        <w:rPr>
          <w:rFonts w:ascii="Arial" w:hAnsi="Arial" w:cs="Arial"/>
          <w:b/>
          <w:bCs/>
          <w:sz w:val="32"/>
          <w:szCs w:val="24"/>
        </w:rPr>
      </w:pPr>
      <w:r w:rsidRPr="005C7CFA">
        <w:rPr>
          <w:rFonts w:ascii="Arial" w:hAnsi="Arial" w:cs="Arial"/>
          <w:b/>
          <w:bCs/>
          <w:sz w:val="32"/>
          <w:szCs w:val="24"/>
        </w:rPr>
        <w:t xml:space="preserve">PROJET DE LOI </w:t>
      </w:r>
    </w:p>
    <w:p w:rsidR="00394DF9" w:rsidRDefault="00394DF9" w:rsidP="00394DF9">
      <w:pPr>
        <w:pStyle w:val="Textebrut"/>
        <w:jc w:val="center"/>
        <w:rPr>
          <w:rFonts w:ascii="Arial" w:hAnsi="Arial" w:cs="Arial"/>
          <w:b/>
          <w:bCs/>
          <w:sz w:val="24"/>
          <w:szCs w:val="24"/>
        </w:rPr>
      </w:pPr>
    </w:p>
    <w:p w:rsidR="00394DF9" w:rsidRDefault="00394DF9" w:rsidP="00394DF9">
      <w:pPr>
        <w:pStyle w:val="Textebrut"/>
        <w:rPr>
          <w:rFonts w:ascii="Arial" w:hAnsi="Arial" w:cs="Arial"/>
          <w:b/>
          <w:sz w:val="24"/>
          <w:szCs w:val="24"/>
        </w:rPr>
      </w:pPr>
      <w:r w:rsidRPr="009F06A1">
        <w:rPr>
          <w:rFonts w:ascii="Arial" w:hAnsi="Arial" w:cs="Arial"/>
          <w:b/>
          <w:sz w:val="24"/>
          <w:szCs w:val="24"/>
        </w:rPr>
        <w:t>ayant pour objet d’autoriser le Gouvernement à subventionner l’exécution d’un onzième programme quinquennal d’équipement de l’infrastructure touristique</w:t>
      </w:r>
    </w:p>
    <w:p w:rsidR="00394DF9" w:rsidRPr="00454AE3" w:rsidRDefault="00394DF9" w:rsidP="00394DF9">
      <w:pPr>
        <w:pStyle w:val="Textebrut"/>
        <w:rPr>
          <w:rFonts w:ascii="Arial" w:hAnsi="Arial" w:cs="Arial"/>
          <w:b/>
          <w:bCs/>
          <w:sz w:val="22"/>
          <w:szCs w:val="22"/>
        </w:rPr>
      </w:pPr>
    </w:p>
    <w:p w:rsidR="00394DF9" w:rsidRDefault="00394DF9" w:rsidP="00394DF9">
      <w:pPr>
        <w:pStyle w:val="Textebrut"/>
        <w:jc w:val="center"/>
        <w:rPr>
          <w:rFonts w:ascii="Arial" w:hAnsi="Arial" w:cs="Arial"/>
          <w:b/>
          <w:sz w:val="22"/>
          <w:szCs w:val="22"/>
          <w:lang w:val="fr-LU"/>
        </w:rPr>
      </w:pPr>
      <w:r w:rsidRPr="00454AE3">
        <w:rPr>
          <w:rFonts w:ascii="Arial" w:hAnsi="Arial" w:cs="Arial"/>
          <w:b/>
          <w:sz w:val="22"/>
          <w:szCs w:val="22"/>
          <w:lang w:val="fr-LU"/>
        </w:rPr>
        <w:t>***</w:t>
      </w:r>
    </w:p>
    <w:p w:rsidR="00394DF9" w:rsidRDefault="00394DF9" w:rsidP="00394DF9">
      <w:pPr>
        <w:spacing w:after="0" w:line="240" w:lineRule="auto"/>
        <w:jc w:val="center"/>
        <w:rPr>
          <w:rFonts w:ascii="Arial" w:hAnsi="Arial" w:cs="Arial"/>
          <w:b/>
          <w:color w:val="FF0000"/>
          <w:sz w:val="24"/>
          <w:szCs w:val="24"/>
          <w:lang w:val="fr-LU"/>
        </w:rPr>
      </w:pPr>
    </w:p>
    <w:p w:rsidR="00394DF9" w:rsidRDefault="00394DF9" w:rsidP="00394DF9">
      <w:pPr>
        <w:jc w:val="center"/>
        <w:rPr>
          <w:rFonts w:ascii="Arial" w:hAnsi="Arial" w:cs="Arial"/>
          <w:b/>
          <w:sz w:val="24"/>
          <w:szCs w:val="24"/>
          <w:lang w:val="fr-LU"/>
        </w:rPr>
      </w:pPr>
      <w:r>
        <w:rPr>
          <w:rFonts w:ascii="Arial" w:hAnsi="Arial" w:cs="Arial"/>
          <w:b/>
          <w:sz w:val="24"/>
          <w:szCs w:val="24"/>
          <w:lang w:val="fr-LU"/>
        </w:rPr>
        <w:t>Résumé</w:t>
      </w:r>
    </w:p>
    <w:p w:rsidR="00394DF9" w:rsidRDefault="00394DF9" w:rsidP="00394DF9">
      <w:pPr>
        <w:pStyle w:val="Sansinterligne"/>
        <w:jc w:val="both"/>
        <w:rPr>
          <w:rFonts w:ascii="Arial" w:hAnsi="Arial" w:cs="Arial"/>
        </w:rPr>
      </w:pPr>
      <w:r w:rsidRPr="00077640">
        <w:rPr>
          <w:rFonts w:ascii="Arial" w:hAnsi="Arial" w:cs="Arial"/>
        </w:rPr>
        <w:t xml:space="preserve">Le projet de loi </w:t>
      </w:r>
      <w:r>
        <w:rPr>
          <w:rFonts w:ascii="Arial" w:hAnsi="Arial" w:cs="Arial"/>
        </w:rPr>
        <w:t>autorise le Gouvernement à subventionner</w:t>
      </w:r>
      <w:r w:rsidRPr="00077640">
        <w:rPr>
          <w:rFonts w:ascii="Arial" w:hAnsi="Arial" w:cs="Arial"/>
        </w:rPr>
        <w:t xml:space="preserve"> le programme d’équipement de l’infrastructure touristique pour une nouvelle période de 5 ans s’étendant du 1</w:t>
      </w:r>
      <w:r w:rsidRPr="00077640">
        <w:rPr>
          <w:rFonts w:ascii="Arial" w:hAnsi="Arial" w:cs="Arial"/>
          <w:vertAlign w:val="superscript"/>
        </w:rPr>
        <w:t>er</w:t>
      </w:r>
      <w:r w:rsidRPr="00077640">
        <w:rPr>
          <w:rFonts w:ascii="Arial" w:hAnsi="Arial" w:cs="Arial"/>
        </w:rPr>
        <w:t xml:space="preserve"> janvier 2023 au 31 décembre 2027 et qui se substitue au 10</w:t>
      </w:r>
      <w:r w:rsidRPr="00077640">
        <w:rPr>
          <w:rFonts w:ascii="Arial" w:hAnsi="Arial" w:cs="Arial"/>
          <w:vertAlign w:val="superscript"/>
        </w:rPr>
        <w:t>e</w:t>
      </w:r>
      <w:r w:rsidRPr="00077640">
        <w:rPr>
          <w:rFonts w:ascii="Arial" w:hAnsi="Arial" w:cs="Arial"/>
        </w:rPr>
        <w:t xml:space="preserve"> programme quinquennal qui est venu à échéance le 31 décembre 2022.</w:t>
      </w:r>
    </w:p>
    <w:p w:rsidR="00394DF9" w:rsidRPr="00077640" w:rsidRDefault="00394DF9" w:rsidP="00394DF9">
      <w:pPr>
        <w:pStyle w:val="Sansinterligne"/>
        <w:jc w:val="both"/>
        <w:rPr>
          <w:rFonts w:ascii="Arial" w:hAnsi="Arial" w:cs="Arial"/>
        </w:rPr>
      </w:pPr>
    </w:p>
    <w:p w:rsidR="00394DF9" w:rsidRPr="00077640" w:rsidRDefault="00394DF9" w:rsidP="00394DF9">
      <w:pPr>
        <w:pStyle w:val="Sansinterligne"/>
        <w:jc w:val="both"/>
        <w:rPr>
          <w:rFonts w:ascii="Arial" w:hAnsi="Arial" w:cs="Arial"/>
        </w:rPr>
      </w:pPr>
      <w:r w:rsidRPr="00077640">
        <w:rPr>
          <w:rFonts w:ascii="Arial" w:hAnsi="Arial" w:cs="Arial"/>
        </w:rPr>
        <w:t xml:space="preserve">Sous le </w:t>
      </w:r>
      <w:r w:rsidRPr="00077640">
        <w:rPr>
          <w:rFonts w:ascii="Arial" w:hAnsi="Arial" w:cs="Arial"/>
          <w:i/>
        </w:rPr>
        <w:t>Leitmotiv</w:t>
      </w:r>
      <w:r w:rsidRPr="00077640">
        <w:rPr>
          <w:rFonts w:ascii="Arial" w:hAnsi="Arial" w:cs="Arial"/>
        </w:rPr>
        <w:t xml:space="preserve"> « </w:t>
      </w:r>
      <w:proofErr w:type="spellStart"/>
      <w:r w:rsidRPr="00077640">
        <w:rPr>
          <w:rFonts w:ascii="Arial" w:hAnsi="Arial" w:cs="Arial"/>
        </w:rPr>
        <w:t>Mënschen</w:t>
      </w:r>
      <w:proofErr w:type="spellEnd"/>
      <w:r w:rsidRPr="00077640">
        <w:rPr>
          <w:rFonts w:ascii="Arial" w:hAnsi="Arial" w:cs="Arial"/>
        </w:rPr>
        <w:t xml:space="preserve">, </w:t>
      </w:r>
      <w:proofErr w:type="spellStart"/>
      <w:r w:rsidRPr="00077640">
        <w:rPr>
          <w:rFonts w:ascii="Arial" w:hAnsi="Arial" w:cs="Arial"/>
        </w:rPr>
        <w:t>Regiounen</w:t>
      </w:r>
      <w:proofErr w:type="spellEnd"/>
      <w:r w:rsidRPr="00077640">
        <w:rPr>
          <w:rFonts w:ascii="Arial" w:hAnsi="Arial" w:cs="Arial"/>
        </w:rPr>
        <w:t xml:space="preserve"> an </w:t>
      </w:r>
      <w:proofErr w:type="spellStart"/>
      <w:r w:rsidRPr="00077640">
        <w:rPr>
          <w:rFonts w:ascii="Arial" w:hAnsi="Arial" w:cs="Arial"/>
        </w:rPr>
        <w:t>Ekonomie</w:t>
      </w:r>
      <w:proofErr w:type="spellEnd"/>
      <w:r w:rsidRPr="00077640">
        <w:rPr>
          <w:rFonts w:ascii="Arial" w:hAnsi="Arial" w:cs="Arial"/>
        </w:rPr>
        <w:t xml:space="preserve"> : de </w:t>
      </w:r>
      <w:proofErr w:type="spellStart"/>
      <w:r w:rsidRPr="00077640">
        <w:rPr>
          <w:rFonts w:ascii="Arial" w:hAnsi="Arial" w:cs="Arial"/>
        </w:rPr>
        <w:t>wäertorientéierten</w:t>
      </w:r>
      <w:proofErr w:type="spellEnd"/>
      <w:r w:rsidRPr="00077640">
        <w:rPr>
          <w:rFonts w:ascii="Arial" w:hAnsi="Arial" w:cs="Arial"/>
        </w:rPr>
        <w:t xml:space="preserve"> </w:t>
      </w:r>
      <w:proofErr w:type="spellStart"/>
      <w:r w:rsidRPr="00077640">
        <w:rPr>
          <w:rFonts w:ascii="Arial" w:hAnsi="Arial" w:cs="Arial"/>
        </w:rPr>
        <w:t>Tourismus</w:t>
      </w:r>
      <w:proofErr w:type="spellEnd"/>
      <w:r w:rsidRPr="00077640">
        <w:rPr>
          <w:rFonts w:ascii="Arial" w:hAnsi="Arial" w:cs="Arial"/>
        </w:rPr>
        <w:t xml:space="preserve"> </w:t>
      </w:r>
      <w:proofErr w:type="spellStart"/>
      <w:r w:rsidRPr="00077640">
        <w:rPr>
          <w:rFonts w:ascii="Arial" w:hAnsi="Arial" w:cs="Arial"/>
        </w:rPr>
        <w:t>als</w:t>
      </w:r>
      <w:proofErr w:type="spellEnd"/>
      <w:r w:rsidRPr="00077640">
        <w:rPr>
          <w:rFonts w:ascii="Arial" w:hAnsi="Arial" w:cs="Arial"/>
        </w:rPr>
        <w:t xml:space="preserve"> </w:t>
      </w:r>
      <w:proofErr w:type="spellStart"/>
      <w:r w:rsidRPr="00077640">
        <w:rPr>
          <w:rFonts w:ascii="Arial" w:hAnsi="Arial" w:cs="Arial"/>
        </w:rPr>
        <w:t>aktiven</w:t>
      </w:r>
      <w:proofErr w:type="spellEnd"/>
      <w:r w:rsidRPr="00077640">
        <w:rPr>
          <w:rFonts w:ascii="Arial" w:hAnsi="Arial" w:cs="Arial"/>
        </w:rPr>
        <w:t xml:space="preserve"> </w:t>
      </w:r>
      <w:proofErr w:type="spellStart"/>
      <w:r w:rsidRPr="00077640">
        <w:rPr>
          <w:rFonts w:ascii="Arial" w:hAnsi="Arial" w:cs="Arial"/>
        </w:rPr>
        <w:t>Dreiwer</w:t>
      </w:r>
      <w:proofErr w:type="spellEnd"/>
      <w:r w:rsidRPr="00077640">
        <w:rPr>
          <w:rFonts w:ascii="Arial" w:hAnsi="Arial" w:cs="Arial"/>
        </w:rPr>
        <w:t xml:space="preserve"> </w:t>
      </w:r>
      <w:proofErr w:type="spellStart"/>
      <w:r w:rsidRPr="00077640">
        <w:rPr>
          <w:rFonts w:ascii="Arial" w:hAnsi="Arial" w:cs="Arial"/>
        </w:rPr>
        <w:t>fir</w:t>
      </w:r>
      <w:proofErr w:type="spellEnd"/>
      <w:r w:rsidRPr="00077640">
        <w:rPr>
          <w:rFonts w:ascii="Arial" w:hAnsi="Arial" w:cs="Arial"/>
        </w:rPr>
        <w:t xml:space="preserve"> </w:t>
      </w:r>
      <w:proofErr w:type="spellStart"/>
      <w:r w:rsidRPr="00077640">
        <w:rPr>
          <w:rFonts w:ascii="Arial" w:hAnsi="Arial" w:cs="Arial"/>
        </w:rPr>
        <w:t>méi</w:t>
      </w:r>
      <w:proofErr w:type="spellEnd"/>
      <w:r w:rsidRPr="00077640">
        <w:rPr>
          <w:rFonts w:ascii="Arial" w:hAnsi="Arial" w:cs="Arial"/>
        </w:rPr>
        <w:t xml:space="preserve"> </w:t>
      </w:r>
      <w:proofErr w:type="spellStart"/>
      <w:r w:rsidRPr="00077640">
        <w:rPr>
          <w:rFonts w:ascii="Arial" w:hAnsi="Arial" w:cs="Arial"/>
        </w:rPr>
        <w:t>Liewens</w:t>
      </w:r>
      <w:proofErr w:type="spellEnd"/>
      <w:r w:rsidRPr="00077640">
        <w:rPr>
          <w:rFonts w:ascii="Arial" w:hAnsi="Arial" w:cs="Arial"/>
        </w:rPr>
        <w:t xml:space="preserve">- an </w:t>
      </w:r>
      <w:proofErr w:type="spellStart"/>
      <w:r w:rsidRPr="00077640">
        <w:rPr>
          <w:rFonts w:ascii="Arial" w:hAnsi="Arial" w:cs="Arial"/>
        </w:rPr>
        <w:t>Openthaltsqualitéit</w:t>
      </w:r>
      <w:proofErr w:type="spellEnd"/>
      <w:r w:rsidRPr="00077640">
        <w:rPr>
          <w:rFonts w:ascii="Arial" w:hAnsi="Arial" w:cs="Arial"/>
        </w:rPr>
        <w:t> », la nouvelle stratégie mise sur quatre piliers principaux, à savoir :</w:t>
      </w:r>
    </w:p>
    <w:p w:rsidR="00394DF9" w:rsidRPr="00077640" w:rsidRDefault="00394DF9" w:rsidP="00394DF9">
      <w:pPr>
        <w:pStyle w:val="Sansinterligne"/>
        <w:jc w:val="both"/>
        <w:rPr>
          <w:rFonts w:ascii="Arial" w:hAnsi="Arial" w:cs="Arial"/>
        </w:rPr>
      </w:pPr>
    </w:p>
    <w:p w:rsidR="00394DF9" w:rsidRPr="00077640" w:rsidRDefault="00394DF9" w:rsidP="00394DF9">
      <w:pPr>
        <w:pStyle w:val="Sansinterligne"/>
        <w:numPr>
          <w:ilvl w:val="0"/>
          <w:numId w:val="2"/>
        </w:numPr>
        <w:jc w:val="both"/>
        <w:rPr>
          <w:rFonts w:ascii="Arial" w:hAnsi="Arial" w:cs="Arial"/>
        </w:rPr>
      </w:pPr>
      <w:r w:rsidRPr="00077640">
        <w:rPr>
          <w:rFonts w:ascii="Arial" w:hAnsi="Arial" w:cs="Arial"/>
        </w:rPr>
        <w:t>l’aménagement de l’offre existante et son adaptation aux besoins actuels, notamment dans le tourisme actif, gastronomique et culturel ;</w:t>
      </w:r>
    </w:p>
    <w:p w:rsidR="00394DF9" w:rsidRPr="00077640" w:rsidRDefault="00394DF9" w:rsidP="00394DF9">
      <w:pPr>
        <w:pStyle w:val="Sansinterligne"/>
        <w:numPr>
          <w:ilvl w:val="0"/>
          <w:numId w:val="2"/>
        </w:numPr>
        <w:jc w:val="both"/>
        <w:rPr>
          <w:rFonts w:ascii="Arial" w:hAnsi="Arial" w:cs="Arial"/>
        </w:rPr>
      </w:pPr>
      <w:r w:rsidRPr="00077640">
        <w:rPr>
          <w:rFonts w:ascii="Arial" w:hAnsi="Arial" w:cs="Arial"/>
        </w:rPr>
        <w:t>un renforcement de la résilience des entreprises, en encourageant les investissements et en développant des stratégies en vue d’attirer et fidéliser du personnel qualifié ;</w:t>
      </w:r>
    </w:p>
    <w:p w:rsidR="00394DF9" w:rsidRPr="00077640" w:rsidRDefault="00394DF9" w:rsidP="00394DF9">
      <w:pPr>
        <w:pStyle w:val="Sansinterligne"/>
        <w:numPr>
          <w:ilvl w:val="0"/>
          <w:numId w:val="2"/>
        </w:numPr>
        <w:jc w:val="both"/>
        <w:rPr>
          <w:rFonts w:ascii="Arial" w:hAnsi="Arial" w:cs="Arial"/>
        </w:rPr>
      </w:pPr>
      <w:r w:rsidRPr="00077640">
        <w:rPr>
          <w:rFonts w:ascii="Arial" w:hAnsi="Arial" w:cs="Arial"/>
        </w:rPr>
        <w:t>la prise en compte des dimensions écologique, économique, sociale et culturelle de la durabilité ;</w:t>
      </w:r>
    </w:p>
    <w:p w:rsidR="00394DF9" w:rsidRPr="00077640" w:rsidRDefault="00394DF9" w:rsidP="00394DF9">
      <w:pPr>
        <w:pStyle w:val="Sansinterligne"/>
        <w:numPr>
          <w:ilvl w:val="0"/>
          <w:numId w:val="2"/>
        </w:numPr>
        <w:jc w:val="both"/>
        <w:rPr>
          <w:rFonts w:ascii="Arial" w:hAnsi="Arial" w:cs="Arial"/>
        </w:rPr>
      </w:pPr>
      <w:r w:rsidRPr="00077640">
        <w:rPr>
          <w:rFonts w:ascii="Arial" w:hAnsi="Arial" w:cs="Arial"/>
        </w:rPr>
        <w:t>la promotion des initiatives de digitalisation existantes.</w:t>
      </w:r>
    </w:p>
    <w:p w:rsidR="00394DF9" w:rsidRPr="00077640" w:rsidRDefault="00394DF9" w:rsidP="00394DF9">
      <w:pPr>
        <w:pStyle w:val="Sansinterligne"/>
        <w:jc w:val="both"/>
        <w:rPr>
          <w:rFonts w:ascii="Arial" w:hAnsi="Arial" w:cs="Arial"/>
        </w:rPr>
      </w:pPr>
    </w:p>
    <w:p w:rsidR="00394DF9" w:rsidRPr="00077640" w:rsidRDefault="00394DF9" w:rsidP="00394DF9">
      <w:pPr>
        <w:pStyle w:val="Sansinterligne"/>
        <w:jc w:val="both"/>
        <w:rPr>
          <w:rFonts w:ascii="Arial" w:hAnsi="Arial" w:cs="Arial"/>
        </w:rPr>
      </w:pPr>
      <w:r w:rsidRPr="00077640">
        <w:rPr>
          <w:rFonts w:ascii="Arial" w:hAnsi="Arial" w:cs="Arial"/>
        </w:rPr>
        <w:t xml:space="preserve">Au cours des années précédentes, certaines difficultés s’étaient </w:t>
      </w:r>
      <w:r>
        <w:rPr>
          <w:rFonts w:ascii="Arial" w:hAnsi="Arial" w:cs="Arial"/>
        </w:rPr>
        <w:t>présentées</w:t>
      </w:r>
      <w:r w:rsidRPr="00077640">
        <w:rPr>
          <w:rFonts w:ascii="Arial" w:hAnsi="Arial" w:cs="Arial"/>
        </w:rPr>
        <w:t xml:space="preserve">, auxquelles le projet de loi n° 8050 </w:t>
      </w:r>
      <w:r>
        <w:rPr>
          <w:rFonts w:ascii="Arial" w:hAnsi="Arial" w:cs="Arial"/>
        </w:rPr>
        <w:t>apporte</w:t>
      </w:r>
      <w:r w:rsidRPr="00077640">
        <w:rPr>
          <w:rFonts w:ascii="Arial" w:hAnsi="Arial" w:cs="Arial"/>
        </w:rPr>
        <w:t xml:space="preserve"> des solutions. En premier lieu, il n’a pas toujours été facile à déterminer si certains projets devraient également être autorisés par règlement grand-ducal. Des critères clairs qui définissent la procédure de traitement des différents dossiers d’investissements faisaient également défaut. Or, tout en restant dans la continuité des programmes précédents, le projet de loi n° 8050 introduit également des dispositions nouvelles, destinées à faciliter la mise en œuvre du 11</w:t>
      </w:r>
      <w:r w:rsidRPr="00077640">
        <w:rPr>
          <w:rFonts w:ascii="Arial" w:hAnsi="Arial" w:cs="Arial"/>
          <w:vertAlign w:val="superscript"/>
        </w:rPr>
        <w:t>e</w:t>
      </w:r>
      <w:r w:rsidRPr="00077640">
        <w:rPr>
          <w:rFonts w:ascii="Arial" w:hAnsi="Arial" w:cs="Arial"/>
        </w:rPr>
        <w:t xml:space="preserve"> plan quinquennal.</w:t>
      </w:r>
    </w:p>
    <w:p w:rsidR="00394DF9" w:rsidRPr="00077640" w:rsidRDefault="00394DF9" w:rsidP="00394DF9">
      <w:pPr>
        <w:pStyle w:val="Sansinterligne"/>
        <w:jc w:val="both"/>
        <w:rPr>
          <w:rFonts w:ascii="Arial" w:hAnsi="Arial" w:cs="Arial"/>
        </w:rPr>
      </w:pPr>
    </w:p>
    <w:p w:rsidR="00394DF9" w:rsidRPr="00394DF9" w:rsidRDefault="00394DF9" w:rsidP="00394DF9">
      <w:pPr>
        <w:pStyle w:val="Sansinterligne"/>
        <w:jc w:val="both"/>
        <w:rPr>
          <w:rFonts w:ascii="Arial" w:hAnsi="Arial" w:cs="Arial"/>
        </w:rPr>
      </w:pPr>
      <w:r>
        <w:rPr>
          <w:rFonts w:ascii="Arial" w:hAnsi="Arial" w:cs="Arial"/>
        </w:rPr>
        <w:t>C</w:t>
      </w:r>
      <w:r w:rsidRPr="00077640">
        <w:rPr>
          <w:rFonts w:ascii="Arial" w:hAnsi="Arial" w:cs="Arial"/>
        </w:rPr>
        <w:t>e programme permettra de soutenir la création et la modernisation de projets d’infrastructure touristique, à l’exception des projets de gîtes touristiques portés par des personnes privées. En général, les subventions seront limitées aux dépenses d’investissement. Finalement, les auteurs du texte ont précisé le cadre légal concernant le financement public d’acquisitions de terrains ou d’immeubles.</w:t>
      </w:r>
    </w:p>
    <w:p w:rsidR="00394DF9" w:rsidRPr="00077640" w:rsidRDefault="00394DF9" w:rsidP="00394DF9">
      <w:pPr>
        <w:pStyle w:val="Sansinterligne"/>
        <w:jc w:val="both"/>
        <w:rPr>
          <w:rFonts w:ascii="Arial" w:hAnsi="Arial" w:cs="Arial"/>
        </w:rPr>
      </w:pPr>
    </w:p>
    <w:p w:rsidR="0036336F" w:rsidRPr="00394DF9" w:rsidRDefault="00394DF9" w:rsidP="00394DF9">
      <w:pPr>
        <w:pStyle w:val="Sansinterligne"/>
        <w:jc w:val="both"/>
        <w:rPr>
          <w:rFonts w:ascii="Arial" w:hAnsi="Arial" w:cs="Arial"/>
        </w:rPr>
      </w:pPr>
      <w:r>
        <w:rPr>
          <w:rFonts w:ascii="Arial" w:hAnsi="Arial" w:cs="Arial"/>
        </w:rPr>
        <w:t>Le projet de loi prévoit une enveloppe budgétaire de 70 millions d’euros pour le 11</w:t>
      </w:r>
      <w:r w:rsidRPr="00394DF9">
        <w:rPr>
          <w:rFonts w:ascii="Arial" w:hAnsi="Arial" w:cs="Arial"/>
          <w:vertAlign w:val="superscript"/>
        </w:rPr>
        <w:t>e</w:t>
      </w:r>
      <w:r>
        <w:rPr>
          <w:rFonts w:ascii="Arial" w:hAnsi="Arial" w:cs="Arial"/>
        </w:rPr>
        <w:t xml:space="preserve"> programme quinquennal. </w:t>
      </w:r>
    </w:p>
    <w:sectPr w:rsidR="0036336F" w:rsidRPr="00394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3BC8"/>
    <w:multiLevelType w:val="hybridMultilevel"/>
    <w:tmpl w:val="3D3ED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C90882"/>
    <w:multiLevelType w:val="hybridMultilevel"/>
    <w:tmpl w:val="0454488C"/>
    <w:lvl w:ilvl="0" w:tplc="0814543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49E"/>
    <w:rsid w:val="0036336F"/>
    <w:rsid w:val="00394DF9"/>
    <w:rsid w:val="003C39C3"/>
    <w:rsid w:val="0062149E"/>
    <w:rsid w:val="008033CD"/>
    <w:rsid w:val="00821C57"/>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B59762-24FA-4089-BE6F-29542669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DF9"/>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394DF9"/>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394DF9"/>
    <w:rPr>
      <w:rFonts w:ascii="Courier New" w:eastAsia="Times New Roman" w:hAnsi="Courier New" w:cs="Times New Roman"/>
      <w:sz w:val="20"/>
      <w:szCs w:val="20"/>
      <w:lang w:eastAsia="fr-FR"/>
    </w:rPr>
  </w:style>
  <w:style w:type="paragraph" w:styleId="Sansinterligne">
    <w:name w:val="No Spacing"/>
    <w:uiPriority w:val="1"/>
    <w:qFormat/>
    <w:rsid w:val="00394DF9"/>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F15105F-7239-4074-B546-CD0E9FC77FF0}"/>
</file>

<file path=customXml/itemProps2.xml><?xml version="1.0" encoding="utf-8"?>
<ds:datastoreItem xmlns:ds="http://schemas.openxmlformats.org/officeDocument/2006/customXml" ds:itemID="{0DFE09FA-E874-4BD0-B86C-F253D48CF315}"/>
</file>

<file path=customXml/itemProps3.xml><?xml version="1.0" encoding="utf-8"?>
<ds:datastoreItem xmlns:ds="http://schemas.openxmlformats.org/officeDocument/2006/customXml" ds:itemID="{5D6821B0-80FC-4C3C-8874-21B2927EF6AC}"/>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1995</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