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DC" w:rsidRDefault="00B544DC" w:rsidP="00B544DC">
      <w:pPr>
        <w:tabs>
          <w:tab w:val="left" w:pos="4500"/>
        </w:tabs>
        <w:spacing w:after="0" w:line="240" w:lineRule="auto"/>
        <w:jc w:val="center"/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fr-FR"/>
        </w:rPr>
        <w:t>N</w:t>
      </w:r>
      <w:r>
        <w:rPr>
          <w:rFonts w:ascii="Arial" w:eastAsia="Times New Roman" w:hAnsi="Arial" w:cs="Arial"/>
          <w:b/>
          <w:bCs/>
          <w:vertAlign w:val="superscript"/>
          <w:lang w:eastAsia="fr-FR"/>
        </w:rPr>
        <w:t>o</w:t>
      </w:r>
      <w:r>
        <w:rPr>
          <w:rFonts w:ascii="Arial" w:eastAsia="Times New Roman" w:hAnsi="Arial" w:cs="Arial"/>
          <w:b/>
          <w:bCs/>
          <w:lang w:eastAsia="fr-FR"/>
        </w:rPr>
        <w:t xml:space="preserve"> 8027</w:t>
      </w:r>
    </w:p>
    <w:p w:rsidR="00B544DC" w:rsidRDefault="00B544DC" w:rsidP="00B544D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</w:p>
    <w:p w:rsidR="00B544DC" w:rsidRDefault="00B544DC" w:rsidP="00B544DC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lang w:eastAsia="fr-FR"/>
        </w:rPr>
        <w:t>CHAMBRE DES DEPUTES</w:t>
      </w:r>
    </w:p>
    <w:p w:rsidR="00B544DC" w:rsidRDefault="00B544DC" w:rsidP="00B544DC">
      <w:pPr>
        <w:spacing w:after="0" w:line="240" w:lineRule="auto"/>
        <w:jc w:val="center"/>
        <w:rPr>
          <w:rFonts w:ascii="Arial" w:eastAsia="Times New Roman" w:hAnsi="Arial" w:cs="Arial"/>
          <w:bCs/>
          <w:lang w:eastAsia="fr-FR"/>
        </w:rPr>
      </w:pPr>
    </w:p>
    <w:p w:rsidR="00B544DC" w:rsidRDefault="00B544DC" w:rsidP="00B544DC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lang w:eastAsia="fr-FR"/>
        </w:rPr>
        <w:t>Session ordinaire 2022-2023</w:t>
      </w:r>
    </w:p>
    <w:p w:rsidR="00B544DC" w:rsidRPr="0073146E" w:rsidRDefault="00B544DC" w:rsidP="00B544DC">
      <w:pPr>
        <w:pBdr>
          <w:top w:val="none" w:sz="0" w:space="0" w:color="000000"/>
          <w:left w:val="none" w:sz="0" w:space="0" w:color="000000"/>
          <w:bottom w:val="thinThickLargeGap" w:sz="24" w:space="1" w:color="000000"/>
          <w:right w:val="none" w:sz="0" w:space="0" w:color="000000"/>
        </w:pBd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B544DC" w:rsidRPr="00083219" w:rsidRDefault="00B544DC" w:rsidP="00B544DC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B544DC" w:rsidRPr="00083219" w:rsidRDefault="00B544DC" w:rsidP="00B544DC">
      <w:pPr>
        <w:spacing w:after="0" w:line="240" w:lineRule="auto"/>
        <w:ind w:right="-108"/>
        <w:jc w:val="center"/>
        <w:rPr>
          <w:rFonts w:ascii="Arial" w:eastAsia="Times New Roman" w:hAnsi="Arial" w:cs="Arial"/>
          <w:lang w:eastAsia="fr-FR"/>
        </w:rPr>
      </w:pPr>
    </w:p>
    <w:p w:rsidR="00B544DC" w:rsidRDefault="00B544DC" w:rsidP="00B544DC">
      <w:pPr>
        <w:tabs>
          <w:tab w:val="left" w:pos="1701"/>
        </w:tabs>
        <w:spacing w:after="0" w:line="240" w:lineRule="auto"/>
        <w:ind w:left="1440" w:right="-2" w:hanging="1440"/>
        <w:jc w:val="center"/>
      </w:pPr>
      <w:r>
        <w:rPr>
          <w:rFonts w:ascii="Arial" w:eastAsia="Times New Roman" w:hAnsi="Arial" w:cs="Arial"/>
          <w:b/>
          <w:color w:val="000000"/>
          <w:lang w:eastAsia="fr-FR"/>
        </w:rPr>
        <w:t>PROJET DE LOI</w:t>
      </w:r>
    </w:p>
    <w:p w:rsidR="00B544DC" w:rsidRPr="00811F8A" w:rsidRDefault="00B544DC" w:rsidP="00B544D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fr-FR"/>
        </w:rPr>
      </w:pPr>
    </w:p>
    <w:p w:rsidR="00B544DC" w:rsidRPr="0056509B" w:rsidRDefault="00B544DC" w:rsidP="00B544D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56509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modifiant la loi modifiée du 6 juin 2019 relative à la gestion, à </w:t>
      </w:r>
    </w:p>
    <w:p w:rsidR="00B544DC" w:rsidRDefault="00B544DC" w:rsidP="00B544D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56509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l’accès, à l’utilisation de l’infrastructure ferroviaire et à la régulation du marché ferroviair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</w:t>
      </w:r>
    </w:p>
    <w:p w:rsidR="00B544DC" w:rsidRPr="00811F8A" w:rsidRDefault="00B544DC" w:rsidP="00B544DC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B544DC" w:rsidRPr="00811F8A" w:rsidRDefault="00B544DC" w:rsidP="00B544DC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B544DC" w:rsidRPr="005923FF" w:rsidRDefault="00B544DC" w:rsidP="00B544D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lang w:eastAsia="fr-FR"/>
        </w:rPr>
        <w:t>RESUME</w:t>
      </w:r>
    </w:p>
    <w:p w:rsidR="00B544DC" w:rsidRPr="00811F8A" w:rsidRDefault="00B544DC" w:rsidP="00B544DC">
      <w:pPr>
        <w:jc w:val="both"/>
        <w:rPr>
          <w:rFonts w:ascii="Arial" w:hAnsi="Arial" w:cs="Arial"/>
        </w:rPr>
      </w:pPr>
    </w:p>
    <w:p w:rsidR="00B544DC" w:rsidRPr="0006508F" w:rsidRDefault="00B544DC" w:rsidP="00B544DC">
      <w:pPr>
        <w:jc w:val="both"/>
        <w:rPr>
          <w:rFonts w:ascii="Arial" w:hAnsi="Arial" w:cs="Arial"/>
        </w:rPr>
      </w:pPr>
      <w:r w:rsidRPr="0006508F">
        <w:rPr>
          <w:rFonts w:ascii="Arial" w:hAnsi="Arial" w:cs="Arial"/>
        </w:rPr>
        <w:t>Le présent projet de loi a pour objet de compléter la loi modifiée du 6 juin 2019 relative à la gestion, à l’accès, à l’utilisation de l’infrastructure ferroviaire et à la régulation du marché ferroviaire par l’adaptation :</w:t>
      </w:r>
    </w:p>
    <w:p w:rsidR="00B544DC" w:rsidRPr="0006508F" w:rsidRDefault="00B544DC" w:rsidP="00B544DC">
      <w:pPr>
        <w:pStyle w:val="Paragraphedeliste"/>
        <w:numPr>
          <w:ilvl w:val="0"/>
          <w:numId w:val="1"/>
        </w:numPr>
        <w:spacing w:before="120" w:after="120"/>
        <w:ind w:left="426"/>
        <w:contextualSpacing w:val="0"/>
        <w:jc w:val="both"/>
        <w:rPr>
          <w:rFonts w:ascii="Arial" w:hAnsi="Arial" w:cs="Arial"/>
        </w:rPr>
      </w:pPr>
      <w:r w:rsidRPr="0006508F">
        <w:rPr>
          <w:rFonts w:ascii="Arial" w:hAnsi="Arial" w:cs="Arial"/>
        </w:rPr>
        <w:t>de la liste des projets d’infrastructure ferroviaire à charge du Fonds du rail sous l’annexe 1. Il s’agit concrètement de l’adaptation de deux projets en cours de réalisation et de l’insertion d’un nouveau projet à la liste reprenant les projets de grande envergure</w:t>
      </w:r>
      <w:r>
        <w:rPr>
          <w:rFonts w:ascii="Arial" w:hAnsi="Arial" w:cs="Arial"/>
        </w:rPr>
        <w:t> ;</w:t>
      </w:r>
    </w:p>
    <w:p w:rsidR="00B544DC" w:rsidRPr="0006508F" w:rsidRDefault="00B544DC" w:rsidP="00B544DC">
      <w:pPr>
        <w:pStyle w:val="Paragraphedeliste"/>
        <w:numPr>
          <w:ilvl w:val="0"/>
          <w:numId w:val="1"/>
        </w:numPr>
        <w:spacing w:before="120" w:after="120"/>
        <w:ind w:left="426"/>
        <w:contextualSpacing w:val="0"/>
        <w:jc w:val="both"/>
        <w:rPr>
          <w:rFonts w:ascii="Arial" w:hAnsi="Arial" w:cs="Arial"/>
        </w:rPr>
      </w:pPr>
      <w:r w:rsidRPr="0006508F">
        <w:rPr>
          <w:rFonts w:ascii="Arial" w:hAnsi="Arial" w:cs="Arial"/>
        </w:rPr>
        <w:t>des articles 72 et 73 afin d’assurer la compatibilité avec le règlement (UE) n°</w:t>
      </w:r>
      <w:r>
        <w:rPr>
          <w:rFonts w:ascii="Arial" w:hAnsi="Arial" w:cs="Arial"/>
        </w:rPr>
        <w:t> </w:t>
      </w:r>
      <w:r w:rsidRPr="0006508F">
        <w:rPr>
          <w:rFonts w:ascii="Arial" w:hAnsi="Arial" w:cs="Arial"/>
        </w:rPr>
        <w:t>1301/2014 de la Commission du 18 novembre 2014 concernant les spécifications techniques d’interopérabilité relatives au sous-système «</w:t>
      </w:r>
      <w:r>
        <w:rPr>
          <w:rFonts w:ascii="Arial" w:hAnsi="Arial" w:cs="Arial"/>
        </w:rPr>
        <w:t> </w:t>
      </w:r>
      <w:r w:rsidRPr="0006508F">
        <w:rPr>
          <w:rFonts w:ascii="Arial" w:hAnsi="Arial" w:cs="Arial"/>
        </w:rPr>
        <w:t>énergie</w:t>
      </w:r>
      <w:r>
        <w:rPr>
          <w:rFonts w:ascii="Arial" w:hAnsi="Arial" w:cs="Arial"/>
        </w:rPr>
        <w:t> </w:t>
      </w:r>
      <w:r w:rsidRPr="0006508F">
        <w:rPr>
          <w:rFonts w:ascii="Arial" w:hAnsi="Arial" w:cs="Arial"/>
        </w:rPr>
        <w:t>» du système ferroviaire de l’UE ;</w:t>
      </w:r>
    </w:p>
    <w:p w:rsidR="00B544DC" w:rsidRPr="0006508F" w:rsidRDefault="00B544DC" w:rsidP="00B544DC">
      <w:pPr>
        <w:pStyle w:val="Paragraphedeliste"/>
        <w:numPr>
          <w:ilvl w:val="0"/>
          <w:numId w:val="1"/>
        </w:numPr>
        <w:spacing w:before="120" w:after="120"/>
        <w:ind w:left="426"/>
        <w:contextualSpacing w:val="0"/>
        <w:jc w:val="both"/>
        <w:rPr>
          <w:rFonts w:ascii="Arial" w:hAnsi="Arial" w:cs="Arial"/>
        </w:rPr>
      </w:pPr>
      <w:r w:rsidRPr="0006508F">
        <w:rPr>
          <w:rFonts w:ascii="Arial" w:hAnsi="Arial" w:cs="Arial"/>
        </w:rPr>
        <w:t>et de rendre conforme</w:t>
      </w:r>
      <w:r>
        <w:rPr>
          <w:rFonts w:ascii="Arial" w:hAnsi="Arial" w:cs="Arial"/>
        </w:rPr>
        <w:t>s</w:t>
      </w:r>
      <w:r w:rsidRPr="0006508F">
        <w:rPr>
          <w:rFonts w:ascii="Arial" w:hAnsi="Arial" w:cs="Arial"/>
        </w:rPr>
        <w:t xml:space="preserve"> les mesures nationales de transposition par rapport aux procédures d’infractions n°2020/2303 et n°2020/2311 concernant la directive 2012/34/UE du Parlement européen et du Conseil du 21 novembre 2012 établissant un espace ferroviaire unique européen ou la non-conformité du droit national au droit européen.</w:t>
      </w:r>
    </w:p>
    <w:p w:rsidR="00B544DC" w:rsidRPr="0006508F" w:rsidRDefault="00B544DC" w:rsidP="00B544DC">
      <w:pPr>
        <w:jc w:val="both"/>
        <w:rPr>
          <w:rFonts w:ascii="Arial" w:hAnsi="Arial" w:cs="Arial"/>
        </w:rPr>
      </w:pPr>
    </w:p>
    <w:p w:rsidR="008260C4" w:rsidRPr="00B544DC" w:rsidRDefault="008260C4" w:rsidP="00B544DC"/>
    <w:sectPr w:rsidR="008260C4" w:rsidRPr="00B5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026DB"/>
    <w:multiLevelType w:val="hybridMultilevel"/>
    <w:tmpl w:val="AD98503A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4DC"/>
    <w:rsid w:val="004D686B"/>
    <w:rsid w:val="00510E44"/>
    <w:rsid w:val="00566AFF"/>
    <w:rsid w:val="008260C4"/>
    <w:rsid w:val="008B38CD"/>
    <w:rsid w:val="008E0AB4"/>
    <w:rsid w:val="00B544DC"/>
    <w:rsid w:val="00D0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AFA4356-2A24-4A85-8CB2-51EC38C4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44DC"/>
    <w:pPr>
      <w:suppressAutoHyphens/>
      <w:spacing w:line="252" w:lineRule="auto"/>
      <w:ind w:left="720"/>
      <w:contextualSpacing/>
    </w:pPr>
    <w:rPr>
      <w:rFonts w:cs="Calibri"/>
      <w:lang w:eastAsia="zh-CN"/>
    </w:rPr>
  </w:style>
  <w:style w:type="paragraph" w:customStyle="1" w:styleId="Sansinterligne1">
    <w:name w:val="Sans interligne1"/>
    <w:rsid w:val="00B544DC"/>
    <w:pPr>
      <w:suppressAutoHyphens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DP8027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8027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/sftpecos/Dossiers_parlementaires/8027/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5F3BD87-DD7B-4A7E-9AD1-9A777C1DA57C}"/>
</file>

<file path=customXml/itemProps2.xml><?xml version="1.0" encoding="utf-8"?>
<ds:datastoreItem xmlns:ds="http://schemas.openxmlformats.org/officeDocument/2006/customXml" ds:itemID="{E941AF0D-2C9C-4170-93F4-80974079258B}"/>
</file>

<file path=customXml/itemProps3.xml><?xml version="1.0" encoding="utf-8"?>
<ds:datastoreItem xmlns:ds="http://schemas.openxmlformats.org/officeDocument/2006/customXml" ds:itemID="{143F0C89-BF01-444A-85CD-A03E9CDEF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Tania SONNETTI</dc:creator>
  <cp:keywords/>
  <dc:description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