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41" w:rsidRPr="00662F44" w:rsidRDefault="00536741" w:rsidP="00536741">
      <w:pPr>
        <w:tabs>
          <w:tab w:val="left" w:pos="4451"/>
        </w:tabs>
        <w:autoSpaceDE w:val="0"/>
        <w:autoSpaceDN w:val="0"/>
        <w:adjustRightInd w:val="0"/>
        <w:jc w:val="center"/>
        <w:rPr>
          <w:rFonts w:ascii="Arial" w:hAnsi="Arial" w:cs="Arial"/>
          <w:b/>
          <w:bCs/>
          <w:sz w:val="28"/>
          <w:szCs w:val="28"/>
        </w:rPr>
      </w:pPr>
      <w:bookmarkStart w:id="0" w:name="_GoBack"/>
      <w:bookmarkEnd w:id="0"/>
      <w:r w:rsidRPr="00662F44">
        <w:rPr>
          <w:rFonts w:ascii="Arial" w:hAnsi="Arial" w:cs="Arial"/>
          <w:b/>
          <w:bCs/>
          <w:sz w:val="28"/>
          <w:szCs w:val="28"/>
        </w:rPr>
        <w:t>N° 8014</w:t>
      </w:r>
    </w:p>
    <w:p w:rsidR="00536741" w:rsidRPr="00662F44" w:rsidRDefault="00536741" w:rsidP="00536741">
      <w:pPr>
        <w:autoSpaceDE w:val="0"/>
        <w:autoSpaceDN w:val="0"/>
        <w:adjustRightInd w:val="0"/>
        <w:jc w:val="center"/>
        <w:rPr>
          <w:rFonts w:ascii="Arial" w:hAnsi="Arial" w:cs="Arial"/>
          <w:b/>
          <w:bCs/>
          <w:sz w:val="16"/>
          <w:szCs w:val="16"/>
        </w:rPr>
      </w:pPr>
    </w:p>
    <w:p w:rsidR="00536741" w:rsidRPr="00662F44" w:rsidRDefault="00536741" w:rsidP="00536741">
      <w:pPr>
        <w:autoSpaceDE w:val="0"/>
        <w:autoSpaceDN w:val="0"/>
        <w:adjustRightInd w:val="0"/>
        <w:jc w:val="center"/>
        <w:rPr>
          <w:rFonts w:ascii="Arial" w:hAnsi="Arial" w:cs="Arial"/>
          <w:bCs/>
          <w:sz w:val="28"/>
          <w:szCs w:val="28"/>
        </w:rPr>
      </w:pPr>
      <w:r w:rsidRPr="00662F44">
        <w:rPr>
          <w:rFonts w:ascii="Arial" w:hAnsi="Arial" w:cs="Arial"/>
          <w:bCs/>
          <w:sz w:val="28"/>
          <w:szCs w:val="28"/>
        </w:rPr>
        <w:t>CHAMBRE DES DÉPUTÉS</w:t>
      </w:r>
    </w:p>
    <w:p w:rsidR="00536741" w:rsidRPr="00662F44" w:rsidRDefault="00536741" w:rsidP="00536741">
      <w:pPr>
        <w:autoSpaceDE w:val="0"/>
        <w:autoSpaceDN w:val="0"/>
        <w:adjustRightInd w:val="0"/>
        <w:jc w:val="center"/>
        <w:rPr>
          <w:rFonts w:ascii="Arial" w:hAnsi="Arial" w:cs="Arial"/>
          <w:bCs/>
          <w:sz w:val="16"/>
          <w:szCs w:val="16"/>
        </w:rPr>
      </w:pPr>
    </w:p>
    <w:p w:rsidR="00536741" w:rsidRPr="00662F44" w:rsidRDefault="00536741" w:rsidP="00536741">
      <w:pPr>
        <w:autoSpaceDE w:val="0"/>
        <w:autoSpaceDN w:val="0"/>
        <w:adjustRightInd w:val="0"/>
        <w:jc w:val="center"/>
        <w:rPr>
          <w:rFonts w:ascii="Arial" w:hAnsi="Arial" w:cs="Arial"/>
          <w:bCs/>
          <w:szCs w:val="20"/>
        </w:rPr>
      </w:pPr>
      <w:r w:rsidRPr="00662F44">
        <w:rPr>
          <w:rFonts w:ascii="Arial" w:hAnsi="Arial" w:cs="Arial"/>
          <w:bCs/>
          <w:szCs w:val="20"/>
        </w:rPr>
        <w:t>Session ordinaire 2022-2023</w:t>
      </w:r>
    </w:p>
    <w:p w:rsidR="00536741" w:rsidRPr="00662F44" w:rsidRDefault="00536741" w:rsidP="00536741">
      <w:pPr>
        <w:pBdr>
          <w:bottom w:val="thinThickLargeGap" w:sz="24" w:space="1" w:color="auto"/>
        </w:pBdr>
        <w:autoSpaceDE w:val="0"/>
        <w:autoSpaceDN w:val="0"/>
        <w:adjustRightInd w:val="0"/>
        <w:rPr>
          <w:rFonts w:ascii="Arial" w:hAnsi="Arial" w:cs="Arial"/>
          <w:b/>
          <w:bCs/>
          <w:szCs w:val="20"/>
        </w:rPr>
      </w:pPr>
    </w:p>
    <w:p w:rsidR="00536741" w:rsidRPr="00662F44" w:rsidRDefault="00536741" w:rsidP="00536741">
      <w:pPr>
        <w:autoSpaceDE w:val="0"/>
        <w:autoSpaceDN w:val="0"/>
        <w:adjustRightInd w:val="0"/>
        <w:rPr>
          <w:rFonts w:ascii="Arial" w:hAnsi="Arial" w:cs="Arial"/>
          <w:b/>
          <w:bCs/>
          <w:szCs w:val="20"/>
        </w:rPr>
      </w:pPr>
    </w:p>
    <w:p w:rsidR="00536741" w:rsidRPr="00662F44" w:rsidRDefault="00536741" w:rsidP="00536741">
      <w:pPr>
        <w:autoSpaceDE w:val="0"/>
        <w:autoSpaceDN w:val="0"/>
        <w:adjustRightInd w:val="0"/>
        <w:jc w:val="center"/>
        <w:rPr>
          <w:rFonts w:ascii="Arial" w:hAnsi="Arial" w:cs="Arial"/>
          <w:b/>
          <w:bCs/>
          <w:spacing w:val="76"/>
          <w:sz w:val="36"/>
          <w:szCs w:val="36"/>
        </w:rPr>
      </w:pPr>
      <w:r w:rsidRPr="00662F44">
        <w:rPr>
          <w:rFonts w:ascii="Arial" w:hAnsi="Arial" w:cs="Arial"/>
          <w:b/>
          <w:bCs/>
          <w:spacing w:val="76"/>
          <w:sz w:val="36"/>
          <w:szCs w:val="36"/>
        </w:rPr>
        <w:t>PROJET DE LOI</w:t>
      </w:r>
    </w:p>
    <w:p w:rsidR="00536741" w:rsidRPr="00662F44" w:rsidRDefault="00536741" w:rsidP="00536741">
      <w:pPr>
        <w:autoSpaceDE w:val="0"/>
        <w:autoSpaceDN w:val="0"/>
        <w:adjustRightInd w:val="0"/>
        <w:jc w:val="center"/>
        <w:rPr>
          <w:rFonts w:ascii="Arial" w:hAnsi="Arial" w:cs="Arial"/>
          <w:b/>
          <w:bCs/>
          <w:szCs w:val="20"/>
        </w:rPr>
      </w:pPr>
    </w:p>
    <w:p w:rsidR="00536741" w:rsidRPr="00662F44" w:rsidRDefault="00536741" w:rsidP="00536741">
      <w:pPr>
        <w:spacing w:line="256" w:lineRule="auto"/>
        <w:jc w:val="center"/>
        <w:rPr>
          <w:rFonts w:ascii="Arial" w:hAnsi="Arial" w:cs="Arial"/>
          <w:b/>
          <w:lang w:val="fr-FR"/>
        </w:rPr>
      </w:pPr>
      <w:r w:rsidRPr="00662F44">
        <w:rPr>
          <w:rFonts w:ascii="Arial" w:hAnsi="Arial" w:cs="Arial"/>
          <w:b/>
          <w:lang w:val="fr-FR"/>
        </w:rPr>
        <w:t>portant modification de la loi modifiée du 18 décembre 2015 relative à la protection internationale et à la protection temporaire</w:t>
      </w:r>
    </w:p>
    <w:p w:rsidR="00536741" w:rsidRPr="00662F44" w:rsidRDefault="00536741" w:rsidP="00536741">
      <w:pPr>
        <w:autoSpaceDE w:val="0"/>
        <w:autoSpaceDN w:val="0"/>
        <w:adjustRightInd w:val="0"/>
        <w:jc w:val="center"/>
        <w:rPr>
          <w:rFonts w:cs="Arial"/>
          <w:b/>
          <w:bCs/>
          <w:lang w:val="fr-FR" w:eastAsia="lb-LU"/>
        </w:rPr>
      </w:pPr>
    </w:p>
    <w:p w:rsidR="00536741" w:rsidRPr="00F53A96" w:rsidRDefault="00536741" w:rsidP="00536741">
      <w:pPr>
        <w:autoSpaceDE w:val="0"/>
        <w:autoSpaceDN w:val="0"/>
        <w:adjustRightInd w:val="0"/>
        <w:jc w:val="center"/>
        <w:rPr>
          <w:rFonts w:cs="Arial"/>
          <w:b/>
          <w:bCs/>
          <w:lang w:eastAsia="lb-LU"/>
        </w:rPr>
      </w:pPr>
    </w:p>
    <w:p w:rsidR="00536741" w:rsidRPr="00662F44" w:rsidRDefault="00536741" w:rsidP="00536741">
      <w:pPr>
        <w:autoSpaceDE w:val="0"/>
        <w:autoSpaceDN w:val="0"/>
        <w:adjustRightInd w:val="0"/>
        <w:jc w:val="center"/>
        <w:rPr>
          <w:rFonts w:ascii="Arial" w:hAnsi="Arial" w:cs="Arial"/>
          <w:b/>
          <w:bCs/>
          <w:lang w:eastAsia="lb-LU"/>
        </w:rPr>
      </w:pPr>
      <w:r w:rsidRPr="00662F44">
        <w:rPr>
          <w:rFonts w:ascii="Arial" w:hAnsi="Arial" w:cs="Arial"/>
          <w:b/>
          <w:bCs/>
          <w:lang w:eastAsia="lb-LU"/>
        </w:rPr>
        <w:t>* * *</w:t>
      </w:r>
    </w:p>
    <w:p w:rsidR="00536741" w:rsidRDefault="00536741" w:rsidP="00536741">
      <w:pPr>
        <w:jc w:val="center"/>
        <w:rPr>
          <w:rFonts w:ascii="Arial" w:eastAsia="Times New Roman" w:hAnsi="Arial" w:cs="Arial"/>
          <w:b/>
          <w:bCs/>
          <w:lang w:val="fr-FR" w:eastAsia="fr-FR"/>
        </w:rPr>
      </w:pPr>
      <w:r w:rsidRPr="009F7676">
        <w:rPr>
          <w:rFonts w:ascii="Arial" w:eastAsia="Times New Roman" w:hAnsi="Arial" w:cs="Arial"/>
          <w:b/>
          <w:bCs/>
          <w:lang w:val="fr-FR" w:eastAsia="fr-FR"/>
        </w:rPr>
        <w:t>RESUME</w:t>
      </w:r>
    </w:p>
    <w:p w:rsidR="00BE0163" w:rsidRDefault="00BE0163" w:rsidP="00BE0163">
      <w:pPr>
        <w:jc w:val="both"/>
        <w:rPr>
          <w:rFonts w:ascii="Arial" w:eastAsia="Arial" w:hAnsi="Arial" w:cs="Arial"/>
        </w:rPr>
      </w:pPr>
      <w:r w:rsidRPr="00A3357F">
        <w:rPr>
          <w:rFonts w:ascii="Arial" w:eastAsia="Arial" w:hAnsi="Arial" w:cs="Arial"/>
        </w:rPr>
        <w:t xml:space="preserve">Le présent projet de loi vise principalement à matérialiser dans la loi modifiée du 18 décembre 2015 relative à la protection internationale et à la protection temporaire les enseignements tirés de deux arrêts de la Cour de justice de l’Union européenne quant à la sauvegarde des droits des demandeurs de protection internationale. Il s’agit notamment de l’arrêt du 15 mars 2017, rendu dans l’affaire Al </w:t>
      </w:r>
      <w:proofErr w:type="spellStart"/>
      <w:r w:rsidRPr="00A3357F">
        <w:rPr>
          <w:rFonts w:ascii="Arial" w:eastAsia="Arial" w:hAnsi="Arial" w:cs="Arial"/>
        </w:rPr>
        <w:t>Chodor</w:t>
      </w:r>
      <w:proofErr w:type="spellEnd"/>
      <w:r w:rsidRPr="00A3357F">
        <w:rPr>
          <w:rFonts w:ascii="Arial" w:eastAsia="Arial" w:hAnsi="Arial" w:cs="Arial"/>
        </w:rPr>
        <w:t xml:space="preserve"> (C-528/15) et l’arrêt du 24 février 2021, rendu dans l’affaire C-673/19.</w:t>
      </w:r>
    </w:p>
    <w:p w:rsidR="00BE0163" w:rsidRDefault="00BE0163" w:rsidP="00BE0163">
      <w:pPr>
        <w:jc w:val="both"/>
        <w:rPr>
          <w:rFonts w:ascii="Arial" w:eastAsia="Arial" w:hAnsi="Arial" w:cs="Arial"/>
        </w:rPr>
      </w:pPr>
      <w:r w:rsidRPr="00A3357F">
        <w:rPr>
          <w:rFonts w:ascii="Arial" w:eastAsia="Arial" w:hAnsi="Arial" w:cs="Arial"/>
        </w:rPr>
        <w:t>Premièrement, le projet de loi instaure des critères objectifs sur lesquels sont fondées les raisons de craindre la fuite d’un demandeur d’une protection internationale relevant du champ d’application du règlement Dublin III</w:t>
      </w:r>
      <w:r>
        <w:rPr>
          <w:rFonts w:ascii="Arial" w:eastAsia="Arial" w:hAnsi="Arial" w:cs="Arial"/>
        </w:rPr>
        <w:t xml:space="preserve">. </w:t>
      </w:r>
    </w:p>
    <w:p w:rsidR="00BE0163" w:rsidRPr="00A3357F" w:rsidRDefault="00BE0163" w:rsidP="00BE0163">
      <w:pPr>
        <w:jc w:val="both"/>
        <w:rPr>
          <w:rFonts w:ascii="Arial" w:eastAsia="Arial" w:hAnsi="Arial" w:cs="Arial"/>
        </w:rPr>
      </w:pPr>
      <w:r w:rsidRPr="00A3357F">
        <w:rPr>
          <w:rFonts w:ascii="Arial" w:eastAsia="Arial" w:hAnsi="Arial" w:cs="Arial"/>
        </w:rPr>
        <w:t xml:space="preserve">Deuxièmement, le texte </w:t>
      </w:r>
      <w:r w:rsidR="004209A4">
        <w:rPr>
          <w:rFonts w:ascii="Arial" w:eastAsia="Arial" w:hAnsi="Arial" w:cs="Arial"/>
        </w:rPr>
        <w:t>vise à</w:t>
      </w:r>
      <w:r w:rsidRPr="00A3357F">
        <w:rPr>
          <w:rFonts w:ascii="Arial" w:eastAsia="Arial" w:hAnsi="Arial" w:cs="Arial"/>
        </w:rPr>
        <w:t xml:space="preserve"> ancrer dans la loi qu’un ressortissant de pays tiers bénéficiant d’une protection internationale dans un autre État membre de l’Union européenne ne peut, sous aucune circonstance, faire l’objet d’une décision de retour, impliquant par définition son éloignement hors du territoire de l’espace Schengen.</w:t>
      </w:r>
    </w:p>
    <w:p w:rsidR="00BE0163" w:rsidRPr="009E7817" w:rsidRDefault="00BE0163" w:rsidP="00BE0163">
      <w:pPr>
        <w:rPr>
          <w:rFonts w:ascii="Arial" w:hAnsi="Arial" w:cs="Arial"/>
        </w:rPr>
      </w:pPr>
    </w:p>
    <w:p w:rsidR="001A02A0" w:rsidRPr="00536741" w:rsidRDefault="001A02A0" w:rsidP="00536741"/>
    <w:sectPr w:rsidR="001A02A0" w:rsidRPr="00536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41"/>
    <w:rsid w:val="001A02A0"/>
    <w:rsid w:val="001B17CB"/>
    <w:rsid w:val="004209A4"/>
    <w:rsid w:val="00536741"/>
    <w:rsid w:val="00655D4D"/>
    <w:rsid w:val="006B5661"/>
    <w:rsid w:val="00BE016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6FAD64-9C37-44E1-89E2-0E8C8DF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2AD56E3-FA1E-4438-B967-3E2C979CBBCD}"/>
</file>

<file path=customXml/itemProps2.xml><?xml version="1.0" encoding="utf-8"?>
<ds:datastoreItem xmlns:ds="http://schemas.openxmlformats.org/officeDocument/2006/customXml" ds:itemID="{66AC5EAA-C31F-4865-A24D-67A22319188D}"/>
</file>

<file path=customXml/itemProps3.xml><?xml version="1.0" encoding="utf-8"?>
<ds:datastoreItem xmlns:ds="http://schemas.openxmlformats.org/officeDocument/2006/customXml" ds:itemID="{131F2EDC-C753-471C-AB3B-CA8D39EF4BF7}"/>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1072</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