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E2" w:rsidRPr="003F7CE2" w:rsidRDefault="003F7CE2" w:rsidP="003F7CE2">
      <w:pPr>
        <w:spacing w:line="276" w:lineRule="auto"/>
        <w:rPr>
          <w:rFonts w:cs="Arial"/>
          <w:b/>
          <w:bCs/>
        </w:rPr>
      </w:pPr>
      <w:bookmarkStart w:id="0" w:name="_GoBack"/>
      <w:bookmarkEnd w:id="0"/>
      <w:r w:rsidRPr="003F7CE2">
        <w:rPr>
          <w:rFonts w:cs="Arial"/>
          <w:b/>
          <w:bCs/>
        </w:rPr>
        <w:t>Synthèse du PL 7959</w:t>
      </w:r>
    </w:p>
    <w:p w:rsidR="003F7CE2" w:rsidRDefault="003F7CE2" w:rsidP="003F7CE2">
      <w:pPr>
        <w:spacing w:line="276" w:lineRule="auto"/>
        <w:rPr>
          <w:rFonts w:cs="Arial"/>
        </w:rPr>
      </w:pPr>
    </w:p>
    <w:p w:rsidR="003F7CE2" w:rsidRPr="00B924D5" w:rsidRDefault="003F7CE2" w:rsidP="003F7CE2">
      <w:pPr>
        <w:spacing w:line="276" w:lineRule="auto"/>
        <w:rPr>
          <w:rFonts w:cs="Arial"/>
        </w:rPr>
      </w:pPr>
      <w:r w:rsidRPr="00B924D5">
        <w:rPr>
          <w:rFonts w:cs="Arial"/>
        </w:rPr>
        <w:t xml:space="preserve">L'assistance judiciaire au Luxembourg est essentielle pour garantir l'accès à la justice des plus vulnérables. Cependant, le système actuel nécessite une réforme afin d'améliorer son efficacité et de l'adapter aux besoins actuels. </w:t>
      </w:r>
    </w:p>
    <w:p w:rsidR="003F7CE2" w:rsidRPr="00B924D5" w:rsidRDefault="003F7CE2" w:rsidP="003F7CE2">
      <w:pPr>
        <w:spacing w:line="276" w:lineRule="auto"/>
        <w:rPr>
          <w:rFonts w:cs="Arial"/>
        </w:rPr>
      </w:pPr>
    </w:p>
    <w:p w:rsidR="003F7CE2" w:rsidRPr="00B924D5" w:rsidRDefault="003F7CE2" w:rsidP="003F7CE2">
      <w:pPr>
        <w:spacing w:line="276" w:lineRule="auto"/>
        <w:rPr>
          <w:rFonts w:cs="Arial"/>
        </w:rPr>
      </w:pPr>
      <w:r w:rsidRPr="00B924D5">
        <w:rPr>
          <w:rFonts w:cs="Arial"/>
        </w:rPr>
        <w:t xml:space="preserve">Actuellement, le système fonctionne selon le principe du « tout ou rien », ce qui peut entraîner des inégalités. L'utilisation du revenu d'inclusion sociale (REVIS) comme unique critère pour déterminer l'éligibilité à l'assistance judiciaire pose problème, car même un léger dépassement de ce seuil exclut complètement une personne du bénéfice de l'assistance. Cela peut dissuader les justiciables d'agir en justice, car les coûts des honoraires d'avocat ne sont pas toujours proportionnels à leur capacité financière. Malgré la possibilité pour le bâtonnier d'accorder l'assistance judiciaire dans des situations exceptionnelles, cela ne suffit pas à réduire les inégalités. </w:t>
      </w:r>
    </w:p>
    <w:p w:rsidR="003F7CE2" w:rsidRPr="00B924D5" w:rsidRDefault="003F7CE2" w:rsidP="003F7CE2">
      <w:pPr>
        <w:spacing w:line="276" w:lineRule="auto"/>
        <w:rPr>
          <w:rFonts w:cs="Arial"/>
        </w:rPr>
      </w:pPr>
    </w:p>
    <w:p w:rsidR="003F7CE2" w:rsidRPr="00B924D5" w:rsidRDefault="003F7CE2" w:rsidP="003F7CE2">
      <w:pPr>
        <w:spacing w:line="276" w:lineRule="auto"/>
        <w:rPr>
          <w:rFonts w:cs="Arial"/>
        </w:rPr>
      </w:pPr>
      <w:r w:rsidRPr="00B924D5">
        <w:rPr>
          <w:rFonts w:cs="Arial"/>
        </w:rPr>
        <w:t>Il est donc proposé de mettre en place une assistance judiciaire partielle, avec des paliers de revenus déterminant la part des honoraires prise en charge par l'État.</w:t>
      </w:r>
    </w:p>
    <w:p w:rsidR="003F7CE2" w:rsidRPr="00B924D5" w:rsidRDefault="003F7CE2" w:rsidP="003F7CE2">
      <w:pPr>
        <w:spacing w:line="276" w:lineRule="auto"/>
        <w:rPr>
          <w:rFonts w:cs="Arial"/>
        </w:rPr>
      </w:pPr>
    </w:p>
    <w:p w:rsidR="003F7CE2" w:rsidRPr="00B924D5" w:rsidRDefault="003F7CE2" w:rsidP="003F7CE2">
      <w:pPr>
        <w:spacing w:line="276" w:lineRule="auto"/>
        <w:rPr>
          <w:rFonts w:cs="Arial"/>
        </w:rPr>
      </w:pPr>
      <w:r w:rsidRPr="00B924D5">
        <w:rPr>
          <w:rFonts w:cs="Arial"/>
        </w:rPr>
        <w:t>Les dispositions légales relatives à l'assistance judiciaire sont actuellement regroupées dans un seul article de la loi sur la profession d'avocat, ce qui rend le texte difficile à lire et à comprendre. Il est proposé d'intégrer ces dispositions dans une loi spéciale distincte pour assurer une meilleure structuration et une plus grande clarté.</w:t>
      </w:r>
    </w:p>
    <w:p w:rsidR="003F7CE2" w:rsidRPr="00B924D5" w:rsidRDefault="003F7CE2" w:rsidP="003F7CE2">
      <w:pPr>
        <w:spacing w:line="276" w:lineRule="auto"/>
        <w:rPr>
          <w:rFonts w:cs="Arial"/>
        </w:rPr>
      </w:pPr>
    </w:p>
    <w:p w:rsidR="003F7CE2" w:rsidRPr="00B924D5" w:rsidRDefault="003F7CE2" w:rsidP="003F7CE2">
      <w:pPr>
        <w:spacing w:line="276" w:lineRule="auto"/>
        <w:rPr>
          <w:rFonts w:cs="Arial"/>
        </w:rPr>
      </w:pPr>
      <w:r w:rsidRPr="00B924D5">
        <w:rPr>
          <w:rFonts w:cs="Arial"/>
        </w:rPr>
        <w:t>Éléments clés de la réforme :</w:t>
      </w:r>
    </w:p>
    <w:p w:rsidR="003F7CE2" w:rsidRPr="00B924D5" w:rsidRDefault="003F7CE2" w:rsidP="003F7CE2">
      <w:pPr>
        <w:spacing w:line="276" w:lineRule="auto"/>
        <w:rPr>
          <w:rFonts w:cs="Arial"/>
        </w:rPr>
      </w:pPr>
    </w:p>
    <w:p w:rsidR="003F7CE2" w:rsidRPr="00B924D5" w:rsidRDefault="003F7CE2" w:rsidP="003F7CE2">
      <w:pPr>
        <w:numPr>
          <w:ilvl w:val="0"/>
          <w:numId w:val="1"/>
        </w:numPr>
        <w:spacing w:line="276" w:lineRule="auto"/>
        <w:rPr>
          <w:rFonts w:cs="Arial"/>
        </w:rPr>
      </w:pPr>
      <w:r w:rsidRPr="00B924D5">
        <w:rPr>
          <w:rFonts w:cs="Arial"/>
        </w:rPr>
        <w:t xml:space="preserve">Introduction de l'assistance judiciaire partielle: il est proposé d'étendre l'assistance judiciaire aux personnes disposant de ressources légèrement supérieures au REVIS, en fixant des paliers de revenus pour déterminer la part prise en charge par l'État. Les honoraires d'avocat seront facturés en fonction d'une convention d'honoraires négociée entre le client et l'avocat, ainsi que du tarif en vigueur pour l'assistance judiciaire. </w:t>
      </w:r>
    </w:p>
    <w:p w:rsidR="003F7CE2" w:rsidRPr="00B924D5" w:rsidRDefault="003F7CE2" w:rsidP="003F7CE2">
      <w:pPr>
        <w:spacing w:line="276" w:lineRule="auto"/>
        <w:rPr>
          <w:rFonts w:cs="Arial"/>
        </w:rPr>
      </w:pPr>
    </w:p>
    <w:p w:rsidR="003F7CE2" w:rsidRPr="00B924D5" w:rsidRDefault="003F7CE2" w:rsidP="003F7CE2">
      <w:pPr>
        <w:numPr>
          <w:ilvl w:val="0"/>
          <w:numId w:val="1"/>
        </w:numPr>
        <w:spacing w:line="276" w:lineRule="auto"/>
        <w:rPr>
          <w:rFonts w:cs="Arial"/>
        </w:rPr>
      </w:pPr>
      <w:r w:rsidRPr="00B924D5">
        <w:rPr>
          <w:rFonts w:cs="Arial"/>
        </w:rPr>
        <w:t xml:space="preserve">Assistance judiciaire des mineurs: il est proposé de renoncer au recouvrement des frais auprès des parents des mineurs bénéficiant de l'assistance judiciaire, compte tenu des difficultés potentielles et des implications sur la relation familiale. </w:t>
      </w:r>
    </w:p>
    <w:p w:rsidR="003F7CE2" w:rsidRPr="00B924D5" w:rsidRDefault="003F7CE2" w:rsidP="003F7CE2">
      <w:pPr>
        <w:spacing w:line="276" w:lineRule="auto"/>
        <w:rPr>
          <w:rFonts w:cs="Arial"/>
        </w:rPr>
      </w:pPr>
    </w:p>
    <w:p w:rsidR="003F7CE2" w:rsidRPr="00B924D5" w:rsidRDefault="003F7CE2" w:rsidP="003F7CE2">
      <w:pPr>
        <w:numPr>
          <w:ilvl w:val="0"/>
          <w:numId w:val="1"/>
        </w:numPr>
        <w:spacing w:line="276" w:lineRule="auto"/>
        <w:rPr>
          <w:rFonts w:cs="Arial"/>
        </w:rPr>
      </w:pPr>
      <w:r w:rsidRPr="00B924D5">
        <w:rPr>
          <w:rFonts w:cs="Arial"/>
        </w:rPr>
        <w:t xml:space="preserve">Champ d'application: le champ d'application de l'assistance judiciaire reste globalement le même, mais il est proposé d'inclure la prise en charge des frais de médiation et d'élargir l'accès à l'assistance judiciaire dans les procédures de règlement collectif des dettes, sous réserve de l'appréciation du bâtonnier. </w:t>
      </w:r>
    </w:p>
    <w:p w:rsidR="003F7CE2" w:rsidRPr="00B924D5" w:rsidRDefault="003F7CE2" w:rsidP="003F7CE2">
      <w:pPr>
        <w:spacing w:line="276" w:lineRule="auto"/>
        <w:rPr>
          <w:rFonts w:cs="Arial"/>
        </w:rPr>
      </w:pPr>
    </w:p>
    <w:p w:rsidR="003F7CE2" w:rsidRPr="00B924D5" w:rsidRDefault="003F7CE2" w:rsidP="003F7CE2">
      <w:pPr>
        <w:numPr>
          <w:ilvl w:val="0"/>
          <w:numId w:val="1"/>
        </w:numPr>
        <w:spacing w:line="276" w:lineRule="auto"/>
        <w:rPr>
          <w:rFonts w:cs="Arial"/>
        </w:rPr>
      </w:pPr>
      <w:r w:rsidRPr="00B924D5">
        <w:rPr>
          <w:rFonts w:cs="Arial"/>
        </w:rPr>
        <w:t xml:space="preserve">Limitation du changement d'avocat: sauf circonstances exceptionnelles, le client ne pourra demander qu'une seule fois le changement d'avocat, laissant au bâtonnier la liberté de décider des autres demandes de changement. </w:t>
      </w:r>
    </w:p>
    <w:p w:rsidR="003F7CE2" w:rsidRPr="00B924D5" w:rsidRDefault="003F7CE2" w:rsidP="003F7CE2">
      <w:pPr>
        <w:spacing w:line="276" w:lineRule="auto"/>
        <w:rPr>
          <w:rFonts w:cs="Arial"/>
        </w:rPr>
      </w:pPr>
    </w:p>
    <w:p w:rsidR="003F7CE2" w:rsidRPr="00B924D5" w:rsidRDefault="003F7CE2" w:rsidP="003F7CE2">
      <w:pPr>
        <w:numPr>
          <w:ilvl w:val="0"/>
          <w:numId w:val="1"/>
        </w:numPr>
        <w:spacing w:line="276" w:lineRule="auto"/>
        <w:rPr>
          <w:rFonts w:cs="Arial"/>
        </w:rPr>
      </w:pPr>
      <w:r w:rsidRPr="00B924D5">
        <w:rPr>
          <w:rFonts w:cs="Arial"/>
        </w:rPr>
        <w:t xml:space="preserve">Adaptation de la procédure de clôture: la procédure de clôture d'un dossier d'assistance judiciaire sera revue pour permettre au bénéficiaire et à son avocat de </w:t>
      </w:r>
      <w:r w:rsidRPr="00B924D5">
        <w:rPr>
          <w:rFonts w:cs="Arial"/>
        </w:rPr>
        <w:lastRenderedPageBreak/>
        <w:t xml:space="preserve">vérifier les prestations retenues avant la transmission au ministère de la Justice, afin de réduire les recours administratifs ultérieurs. </w:t>
      </w:r>
    </w:p>
    <w:p w:rsidR="003F7CE2" w:rsidRPr="00B924D5" w:rsidRDefault="003F7CE2" w:rsidP="003F7CE2">
      <w:pPr>
        <w:spacing w:line="276" w:lineRule="auto"/>
        <w:rPr>
          <w:rFonts w:cs="Arial"/>
        </w:rPr>
      </w:pPr>
    </w:p>
    <w:p w:rsidR="003F7CE2" w:rsidRPr="00B924D5" w:rsidRDefault="003F7CE2" w:rsidP="003F7CE2">
      <w:pPr>
        <w:numPr>
          <w:ilvl w:val="0"/>
          <w:numId w:val="1"/>
        </w:numPr>
        <w:spacing w:line="276" w:lineRule="auto"/>
        <w:rPr>
          <w:rFonts w:cs="Arial"/>
        </w:rPr>
      </w:pPr>
      <w:r w:rsidRPr="00B924D5">
        <w:rPr>
          <w:rFonts w:cs="Arial"/>
        </w:rPr>
        <w:t>Définition des prestations facturables: des précisions seront apportées par un règlement grand-ducal concernant les prestations admissibles et exclues dans le cadre de l'assistance judiciaire.</w:t>
      </w:r>
    </w:p>
    <w:p w:rsidR="003F7CE2" w:rsidRPr="00B924D5" w:rsidRDefault="003F7CE2" w:rsidP="003F7CE2">
      <w:pPr>
        <w:spacing w:line="276" w:lineRule="auto"/>
        <w:rPr>
          <w:rFonts w:cs="Arial"/>
        </w:rPr>
      </w:pP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624F9"/>
    <w:multiLevelType w:val="hybridMultilevel"/>
    <w:tmpl w:val="26D2933A"/>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CE2"/>
    <w:rsid w:val="00033411"/>
    <w:rsid w:val="0011698E"/>
    <w:rsid w:val="002D5A5C"/>
    <w:rsid w:val="003F7CE2"/>
    <w:rsid w:val="00714B49"/>
    <w:rsid w:val="00AD60AB"/>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6E459BD-F4D9-4DF6-9AD0-A79D6B08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3F7CE2"/>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0306C2D-75A7-420A-A741-D62F05FB94FB}"/>
</file>

<file path=customXml/itemProps2.xml><?xml version="1.0" encoding="utf-8"?>
<ds:datastoreItem xmlns:ds="http://schemas.openxmlformats.org/officeDocument/2006/customXml" ds:itemID="{92FCE177-9511-4ADC-8708-E0E29DE237D3}"/>
</file>

<file path=customXml/itemProps3.xml><?xml version="1.0" encoding="utf-8"?>
<ds:datastoreItem xmlns:ds="http://schemas.openxmlformats.org/officeDocument/2006/customXml" ds:itemID="{DCEBE083-A3DE-44C1-BD81-C1C5C15C1468}"/>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2712</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