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20E" w:rsidRPr="00D7220E" w:rsidRDefault="00D7220E" w:rsidP="00D7220E">
      <w:pPr>
        <w:spacing w:after="0" w:line="240" w:lineRule="auto"/>
        <w:contextualSpacing/>
        <w:jc w:val="center"/>
        <w:rPr>
          <w:rFonts w:cs="Arial"/>
          <w:b/>
          <w:bCs/>
          <w:szCs w:val="22"/>
        </w:rPr>
      </w:pPr>
      <w:bookmarkStart w:id="0" w:name="_Hlk515888445"/>
      <w:bookmarkStart w:id="1" w:name="_GoBack"/>
      <w:bookmarkEnd w:id="1"/>
      <w:r w:rsidRPr="00D7220E">
        <w:rPr>
          <w:rFonts w:cs="Arial"/>
          <w:b/>
          <w:bCs/>
          <w:szCs w:val="22"/>
        </w:rPr>
        <w:t>7</w:t>
      </w:r>
      <w:r>
        <w:rPr>
          <w:rFonts w:cs="Arial"/>
          <w:b/>
          <w:bCs/>
          <w:szCs w:val="22"/>
        </w:rPr>
        <w:t>904</w:t>
      </w:r>
      <w:r w:rsidRPr="00D7220E">
        <w:rPr>
          <w:rFonts w:cs="Arial"/>
          <w:b/>
          <w:bCs/>
          <w:szCs w:val="22"/>
        </w:rPr>
        <w:t xml:space="preserve"> Résumé</w:t>
      </w:r>
    </w:p>
    <w:p w:rsidR="00D7220E" w:rsidRPr="00D7220E" w:rsidRDefault="00D7220E" w:rsidP="00D7220E">
      <w:pPr>
        <w:pBdr>
          <w:top w:val="nil"/>
          <w:left w:val="nil"/>
          <w:bottom w:val="nil"/>
          <w:right w:val="nil"/>
          <w:between w:val="nil"/>
          <w:bar w:val="nil"/>
        </w:pBdr>
        <w:spacing w:after="0" w:line="240" w:lineRule="auto"/>
        <w:jc w:val="both"/>
        <w:rPr>
          <w:rFonts w:eastAsia="Arial" w:cs="Arial"/>
          <w:szCs w:val="22"/>
          <w:u w:color="000000"/>
          <w:bdr w:val="nil"/>
          <w:lang w:eastAsia="en-GB"/>
        </w:rPr>
      </w:pPr>
    </w:p>
    <w:p w:rsidR="00D7220E" w:rsidRPr="00D7220E" w:rsidRDefault="007F1A5A" w:rsidP="00AB4138">
      <w:pPr>
        <w:spacing w:after="0" w:line="240" w:lineRule="auto"/>
        <w:jc w:val="both"/>
        <w:rPr>
          <w:rFonts w:cs="Arial"/>
          <w:szCs w:val="22"/>
          <w:lang w:val="fr-LU"/>
        </w:rPr>
      </w:pPr>
      <w:r w:rsidRPr="00AB4138">
        <w:rPr>
          <w:rFonts w:cs="Arial"/>
          <w:szCs w:val="22"/>
          <w:lang w:val="fr-LU"/>
        </w:rPr>
        <w:t>C</w:t>
      </w:r>
      <w:r w:rsidR="00D7220E" w:rsidRPr="00D7220E">
        <w:rPr>
          <w:rFonts w:cs="Arial"/>
          <w:szCs w:val="22"/>
          <w:lang w:val="fr-LU"/>
        </w:rPr>
        <w:t xml:space="preserve">e projet de loi </w:t>
      </w:r>
      <w:r w:rsidRPr="00AB4138">
        <w:rPr>
          <w:rFonts w:cs="Arial"/>
          <w:szCs w:val="22"/>
          <w:lang w:val="fr-LU"/>
        </w:rPr>
        <w:t>vise à</w:t>
      </w:r>
      <w:r w:rsidR="00D7220E" w:rsidRPr="00D7220E">
        <w:rPr>
          <w:rFonts w:cs="Arial"/>
          <w:szCs w:val="22"/>
          <w:lang w:val="fr-LU"/>
        </w:rPr>
        <w:t xml:space="preserve"> modifi</w:t>
      </w:r>
      <w:r w:rsidRPr="00AB4138">
        <w:rPr>
          <w:rFonts w:cs="Arial"/>
          <w:szCs w:val="22"/>
          <w:lang w:val="fr-LU"/>
        </w:rPr>
        <w:t xml:space="preserve">er le </w:t>
      </w:r>
      <w:r w:rsidR="00D7220E" w:rsidRPr="00D7220E">
        <w:rPr>
          <w:rFonts w:cs="Arial"/>
          <w:szCs w:val="22"/>
          <w:lang w:val="fr-LU"/>
        </w:rPr>
        <w:t xml:space="preserve">Code de la consommation </w:t>
      </w:r>
      <w:r w:rsidR="008B5A2D" w:rsidRPr="00AB4138">
        <w:rPr>
          <w:rFonts w:cs="Arial"/>
          <w:szCs w:val="22"/>
          <w:lang w:val="fr-LU"/>
        </w:rPr>
        <w:t xml:space="preserve">afin de </w:t>
      </w:r>
      <w:r w:rsidR="00D7220E" w:rsidRPr="00D7220E">
        <w:rPr>
          <w:rFonts w:cs="Arial"/>
          <w:szCs w:val="22"/>
          <w:lang w:val="fr-LU"/>
        </w:rPr>
        <w:t>transpos</w:t>
      </w:r>
      <w:r w:rsidR="008B5A2D" w:rsidRPr="00AB4138">
        <w:rPr>
          <w:rFonts w:cs="Arial"/>
          <w:szCs w:val="22"/>
          <w:lang w:val="fr-LU"/>
        </w:rPr>
        <w:t>er</w:t>
      </w:r>
      <w:r w:rsidR="00D7220E" w:rsidRPr="00D7220E">
        <w:rPr>
          <w:rFonts w:cs="Arial"/>
          <w:szCs w:val="22"/>
          <w:lang w:val="fr-LU"/>
        </w:rPr>
        <w:t xml:space="preserve"> la directive (UE) 2019/2161 du Parlement européen et du Conseil du 27 novembre 2019 modifiant la directive 93/13/CEE du Conseil et les directives 98/6/CE, 2005/29/CE et 2011/83/UE du Parlement européen et du Conseil en ce qui concerne une meilleure application et une modernisation des règles de l’Union en matière de protection des consommateurs, ci-après la « </w:t>
      </w:r>
      <w:bookmarkStart w:id="2" w:name="_Hlk119482354"/>
      <w:r w:rsidR="00D7220E" w:rsidRPr="00D7220E">
        <w:rPr>
          <w:rFonts w:cs="Arial"/>
          <w:szCs w:val="22"/>
          <w:lang w:val="fr-LU"/>
        </w:rPr>
        <w:t>directive 2019/2161 (Omnibus) </w:t>
      </w:r>
      <w:bookmarkEnd w:id="2"/>
      <w:r w:rsidR="00D7220E" w:rsidRPr="00D7220E">
        <w:rPr>
          <w:rFonts w:cs="Arial"/>
          <w:szCs w:val="22"/>
          <w:lang w:val="fr-LU"/>
        </w:rPr>
        <w:t>».</w:t>
      </w:r>
    </w:p>
    <w:p w:rsidR="00D7220E" w:rsidRPr="00D7220E" w:rsidRDefault="00D7220E" w:rsidP="00AB4138">
      <w:pPr>
        <w:spacing w:after="0" w:line="240" w:lineRule="auto"/>
        <w:jc w:val="both"/>
        <w:rPr>
          <w:rFonts w:cs="Arial"/>
          <w:szCs w:val="22"/>
          <w:lang w:val="fr-LU"/>
        </w:rPr>
      </w:pPr>
    </w:p>
    <w:p w:rsidR="00D7220E" w:rsidRPr="00D7220E" w:rsidRDefault="00D7220E" w:rsidP="00AB4138">
      <w:pPr>
        <w:spacing w:after="0" w:line="240" w:lineRule="auto"/>
        <w:jc w:val="both"/>
        <w:rPr>
          <w:rFonts w:cs="Arial"/>
          <w:szCs w:val="22"/>
          <w:lang w:val="fr-LU"/>
        </w:rPr>
      </w:pPr>
      <w:r w:rsidRPr="00D7220E">
        <w:rPr>
          <w:rFonts w:cs="Arial"/>
          <w:szCs w:val="22"/>
          <w:lang w:val="fr-LU"/>
        </w:rPr>
        <w:t>Cette directive fait suite au bilan de qualité des dispositions législatives relatives au droit des consommateurs et de la commercialisation</w:t>
      </w:r>
      <w:r w:rsidR="00FF7A1E">
        <w:rPr>
          <w:rFonts w:cs="Arial"/>
          <w:szCs w:val="22"/>
          <w:lang w:val="fr-LU"/>
        </w:rPr>
        <w:t>,</w:t>
      </w:r>
      <w:r w:rsidRPr="00D7220E">
        <w:rPr>
          <w:rFonts w:cs="Arial"/>
          <w:szCs w:val="22"/>
          <w:lang w:val="fr-LU"/>
        </w:rPr>
        <w:t xml:space="preserve"> réalisé par la Commission européenne en 2016 et 2017. La Commission européenne en a conclu que l’efficacité du droit sur la protection des consommateurs est compromise par un manque de sensibilisation des professionnels et des consommateurs et qu’il pourrait être plus souvent tiré parti des voies de recours existantes.</w:t>
      </w:r>
    </w:p>
    <w:p w:rsidR="00D7220E" w:rsidRPr="00D7220E" w:rsidRDefault="00D7220E" w:rsidP="00AB4138">
      <w:pPr>
        <w:spacing w:after="0" w:line="240" w:lineRule="auto"/>
        <w:jc w:val="both"/>
        <w:rPr>
          <w:rFonts w:cs="Arial"/>
          <w:szCs w:val="22"/>
          <w:lang w:val="fr-LU"/>
        </w:rPr>
      </w:pPr>
    </w:p>
    <w:p w:rsidR="00D7220E" w:rsidRPr="00D7220E" w:rsidRDefault="00D7220E" w:rsidP="00AB4138">
      <w:pPr>
        <w:spacing w:after="0" w:line="240" w:lineRule="auto"/>
        <w:jc w:val="both"/>
        <w:rPr>
          <w:rFonts w:cs="Arial"/>
          <w:szCs w:val="22"/>
          <w:lang w:val="fr-LU"/>
        </w:rPr>
      </w:pPr>
      <w:r w:rsidRPr="00D7220E">
        <w:rPr>
          <w:rFonts w:cs="Arial"/>
          <w:szCs w:val="22"/>
          <w:lang w:val="fr-LU"/>
        </w:rPr>
        <w:t>La directive 2019/2161 (Omnibus) modernis</w:t>
      </w:r>
      <w:r w:rsidR="007B1749" w:rsidRPr="00AB4138">
        <w:rPr>
          <w:rFonts w:cs="Arial"/>
          <w:szCs w:val="22"/>
          <w:lang w:val="fr-LU"/>
        </w:rPr>
        <w:t xml:space="preserve">e </w:t>
      </w:r>
      <w:r w:rsidR="007B1749" w:rsidRPr="00D7220E">
        <w:rPr>
          <w:rFonts w:cs="Arial"/>
          <w:szCs w:val="22"/>
          <w:lang w:val="fr-LU"/>
        </w:rPr>
        <w:t xml:space="preserve">non seulement </w:t>
      </w:r>
      <w:r w:rsidRPr="00D7220E">
        <w:rPr>
          <w:rFonts w:cs="Arial"/>
          <w:szCs w:val="22"/>
          <w:lang w:val="fr-LU"/>
        </w:rPr>
        <w:t>certains droits des consommateurs, mais adresse</w:t>
      </w:r>
      <w:r w:rsidR="007B1749" w:rsidRPr="00AB4138">
        <w:rPr>
          <w:rFonts w:cs="Arial"/>
          <w:szCs w:val="22"/>
          <w:lang w:val="fr-LU"/>
        </w:rPr>
        <w:t xml:space="preserve"> également</w:t>
      </w:r>
      <w:r w:rsidRPr="00D7220E">
        <w:rPr>
          <w:rFonts w:cs="Arial"/>
          <w:szCs w:val="22"/>
          <w:lang w:val="fr-LU"/>
        </w:rPr>
        <w:t xml:space="preserve"> des lacunes dans les systèmes juridiques nationaux concernant des sanctions réellement efficaces et proportionnées pour dissuader et sanctionner les infractions. </w:t>
      </w:r>
    </w:p>
    <w:p w:rsidR="00D7220E" w:rsidRPr="00D7220E" w:rsidRDefault="00D7220E" w:rsidP="00AB4138">
      <w:pPr>
        <w:spacing w:after="0" w:line="240" w:lineRule="auto"/>
        <w:jc w:val="both"/>
        <w:rPr>
          <w:rFonts w:cs="Arial"/>
          <w:szCs w:val="22"/>
          <w:lang w:val="fr-LU"/>
        </w:rPr>
      </w:pPr>
    </w:p>
    <w:p w:rsidR="00D7220E" w:rsidRDefault="007B1749" w:rsidP="00AB4138">
      <w:pPr>
        <w:spacing w:after="0" w:line="240" w:lineRule="auto"/>
        <w:jc w:val="both"/>
        <w:rPr>
          <w:rFonts w:cs="Arial"/>
          <w:szCs w:val="22"/>
          <w:lang w:val="fr-LU"/>
        </w:rPr>
      </w:pPr>
      <w:r w:rsidRPr="00AB4138">
        <w:rPr>
          <w:rFonts w:cs="Arial"/>
          <w:szCs w:val="22"/>
          <w:lang w:val="fr-LU"/>
        </w:rPr>
        <w:t>Ainsi,</w:t>
      </w:r>
      <w:r w:rsidR="00D7220E" w:rsidRPr="00D7220E">
        <w:rPr>
          <w:rFonts w:cs="Arial"/>
          <w:szCs w:val="22"/>
          <w:lang w:val="fr-LU"/>
        </w:rPr>
        <w:t xml:space="preserve"> la directive 2019/2161 (Omnibus) </w:t>
      </w:r>
      <w:r w:rsidR="00F2781C" w:rsidRPr="00AB4138">
        <w:rPr>
          <w:rFonts w:cs="Arial"/>
          <w:szCs w:val="22"/>
          <w:lang w:val="fr-LU"/>
        </w:rPr>
        <w:t xml:space="preserve">insère </w:t>
      </w:r>
      <w:r w:rsidR="00AB0E21" w:rsidRPr="00AB4138">
        <w:rPr>
          <w:rFonts w:cs="Arial"/>
          <w:szCs w:val="22"/>
          <w:lang w:val="fr-LU"/>
        </w:rPr>
        <w:t>des</w:t>
      </w:r>
      <w:r w:rsidR="00D7220E" w:rsidRPr="00D7220E">
        <w:rPr>
          <w:rFonts w:cs="Arial"/>
          <w:b/>
          <w:bCs/>
          <w:i/>
          <w:iCs/>
          <w:szCs w:val="22"/>
        </w:rPr>
        <w:t xml:space="preserve"> </w:t>
      </w:r>
      <w:r w:rsidR="00D7220E" w:rsidRPr="00D7220E">
        <w:rPr>
          <w:rFonts w:cs="Arial"/>
          <w:szCs w:val="22"/>
        </w:rPr>
        <w:t>critères harmonisés</w:t>
      </w:r>
      <w:r w:rsidR="00AB0E21" w:rsidRPr="00AB4138">
        <w:rPr>
          <w:rFonts w:cs="Arial"/>
          <w:b/>
          <w:bCs/>
          <w:i/>
          <w:iCs/>
          <w:szCs w:val="22"/>
        </w:rPr>
        <w:t xml:space="preserve"> </w:t>
      </w:r>
      <w:r w:rsidR="00AB0E21" w:rsidRPr="00D7220E">
        <w:rPr>
          <w:rFonts w:cs="Arial"/>
          <w:szCs w:val="22"/>
          <w:lang w:val="fr-LU"/>
        </w:rPr>
        <w:t xml:space="preserve">pour l’imposition des sanctions concernant les infractions visées par </w:t>
      </w:r>
      <w:r w:rsidR="00AB0E21" w:rsidRPr="00AB4138">
        <w:rPr>
          <w:rFonts w:cs="Arial"/>
          <w:szCs w:val="22"/>
          <w:lang w:val="fr-LU"/>
        </w:rPr>
        <w:t>l</w:t>
      </w:r>
      <w:r w:rsidR="00AB0E21" w:rsidRPr="00D7220E">
        <w:rPr>
          <w:rFonts w:cs="Arial"/>
          <w:szCs w:val="22"/>
          <w:lang w:val="fr-LU"/>
        </w:rPr>
        <w:t>es directives</w:t>
      </w:r>
      <w:r w:rsidR="00AB0E21" w:rsidRPr="00AB4138">
        <w:rPr>
          <w:rFonts w:cs="Arial"/>
          <w:szCs w:val="22"/>
          <w:lang w:val="fr-LU"/>
        </w:rPr>
        <w:t xml:space="preserve"> </w:t>
      </w:r>
      <w:r w:rsidR="00D7220E" w:rsidRPr="00D7220E">
        <w:rPr>
          <w:rFonts w:cs="Arial"/>
          <w:szCs w:val="22"/>
          <w:lang w:val="fr-LU"/>
        </w:rPr>
        <w:t>93/13 (clauses abusives),</w:t>
      </w:r>
      <w:r w:rsidR="00AB0E21" w:rsidRPr="00AB4138">
        <w:rPr>
          <w:rFonts w:cs="Arial"/>
          <w:szCs w:val="22"/>
          <w:lang w:val="fr-LU"/>
        </w:rPr>
        <w:t xml:space="preserve"> </w:t>
      </w:r>
      <w:r w:rsidR="00D7220E" w:rsidRPr="00D7220E">
        <w:rPr>
          <w:rFonts w:cs="Arial"/>
          <w:szCs w:val="22"/>
          <w:lang w:val="fr-LU"/>
        </w:rPr>
        <w:t>2005/29 (pratiques commerciales déloyales) et 2011/83 (droits des consommateurs)</w:t>
      </w:r>
      <w:r w:rsidR="00AB0E21" w:rsidRPr="00AB4138">
        <w:rPr>
          <w:rFonts w:cs="Arial"/>
          <w:szCs w:val="22"/>
          <w:lang w:val="fr-LU"/>
        </w:rPr>
        <w:t xml:space="preserve">. Pour ces </w:t>
      </w:r>
      <w:r w:rsidR="00AB4138">
        <w:rPr>
          <w:rFonts w:cs="Arial"/>
          <w:szCs w:val="22"/>
          <w:lang w:val="fr-LU"/>
        </w:rPr>
        <w:t>trois</w:t>
      </w:r>
      <w:r w:rsidR="00AB0E21" w:rsidRPr="00AB4138">
        <w:rPr>
          <w:rFonts w:cs="Arial"/>
          <w:szCs w:val="22"/>
          <w:lang w:val="fr-LU"/>
        </w:rPr>
        <w:t xml:space="preserve"> directives, </w:t>
      </w:r>
      <w:r w:rsidR="00AB4138" w:rsidRPr="00D7220E">
        <w:rPr>
          <w:rFonts w:cs="Arial"/>
          <w:szCs w:val="22"/>
          <w:lang w:val="fr-LU"/>
        </w:rPr>
        <w:t xml:space="preserve">la directive 2019/2161 (Omnibus) </w:t>
      </w:r>
      <w:r w:rsidR="00AB0E21" w:rsidRPr="00AB4138">
        <w:rPr>
          <w:rFonts w:cs="Arial"/>
          <w:szCs w:val="22"/>
          <w:lang w:val="fr-LU"/>
        </w:rPr>
        <w:t xml:space="preserve">prévoit également </w:t>
      </w:r>
      <w:r w:rsidR="00D7220E" w:rsidRPr="00D7220E">
        <w:rPr>
          <w:rFonts w:cs="Arial"/>
          <w:szCs w:val="22"/>
          <w:lang w:val="fr-LU"/>
        </w:rPr>
        <w:t>un montant maximal pour les amendes encourues en cas d’infraction de grande ampleur ou d’infraction de grande ampleur à l’échelle de l’Union lorsque celles-ci doivent être imposées dans le cadre de l’article 21 du règlement 2017/2394 (CPC) relatif aux mesures d’exécution que peuvent prendre les autorités compétentes concernées par l’action coordonnée.</w:t>
      </w:r>
      <w:r w:rsidR="00AB4138">
        <w:rPr>
          <w:rFonts w:cs="Arial"/>
          <w:szCs w:val="22"/>
          <w:lang w:val="fr-LU"/>
        </w:rPr>
        <w:t xml:space="preserve"> A</w:t>
      </w:r>
      <w:r w:rsidR="00D7220E" w:rsidRPr="00D7220E">
        <w:rPr>
          <w:rFonts w:cs="Arial"/>
          <w:szCs w:val="22"/>
          <w:lang w:val="fr-LU"/>
        </w:rPr>
        <w:t xml:space="preserve">fin de garantir l’effet dissuasif des amendes, l’amende maximale pour ces infractions est de 4 pour cent du chiffre d’affaires annuel du professionnel dans le ou les </w:t>
      </w:r>
      <w:r w:rsidR="00AB4138">
        <w:rPr>
          <w:rFonts w:cs="Arial"/>
          <w:szCs w:val="22"/>
          <w:lang w:val="fr-LU"/>
        </w:rPr>
        <w:t>E</w:t>
      </w:r>
      <w:r w:rsidR="00D7220E" w:rsidRPr="00D7220E">
        <w:rPr>
          <w:rFonts w:cs="Arial"/>
          <w:szCs w:val="22"/>
          <w:lang w:val="fr-LU"/>
        </w:rPr>
        <w:t xml:space="preserve">tats membres concernés. </w:t>
      </w:r>
    </w:p>
    <w:p w:rsidR="00AB4138" w:rsidRPr="00D7220E" w:rsidRDefault="00AB4138" w:rsidP="00AB4138">
      <w:pPr>
        <w:spacing w:after="0" w:line="240" w:lineRule="auto"/>
        <w:jc w:val="both"/>
        <w:rPr>
          <w:rFonts w:cs="Arial"/>
          <w:szCs w:val="22"/>
          <w:lang w:val="fr-LU"/>
        </w:rPr>
      </w:pPr>
    </w:p>
    <w:p w:rsidR="00AB4138" w:rsidRDefault="00D7220E" w:rsidP="00D7220E">
      <w:pPr>
        <w:spacing w:after="0" w:line="240" w:lineRule="auto"/>
        <w:jc w:val="both"/>
        <w:rPr>
          <w:rFonts w:cs="Arial"/>
          <w:szCs w:val="22"/>
          <w:u w:val="single"/>
          <w:lang w:val="fr-LU"/>
        </w:rPr>
      </w:pPr>
      <w:r w:rsidRPr="00D7220E">
        <w:rPr>
          <w:rFonts w:cs="Arial"/>
          <w:szCs w:val="22"/>
          <w:lang w:val="fr-LU"/>
        </w:rPr>
        <w:t xml:space="preserve">Afin d’améliorer la protection des consommateurs et le respect du droit de la consommation par les professionnels, le projet de loi propose </w:t>
      </w:r>
      <w:r w:rsidR="00EC624F">
        <w:rPr>
          <w:rFonts w:cs="Arial"/>
          <w:szCs w:val="22"/>
          <w:lang w:val="fr-LU"/>
        </w:rPr>
        <w:t xml:space="preserve">également </w:t>
      </w:r>
      <w:r w:rsidRPr="00D7220E">
        <w:rPr>
          <w:rFonts w:cs="Arial"/>
          <w:szCs w:val="22"/>
          <w:lang w:val="fr-LU"/>
        </w:rPr>
        <w:t>de doter le ministre ayant la Protection des consommateurs dans ses attributions d’un nouveau dispositif d’avertissement écrit à l’égard de</w:t>
      </w:r>
      <w:r w:rsidR="00DC73FB">
        <w:rPr>
          <w:rFonts w:cs="Arial"/>
          <w:szCs w:val="22"/>
          <w:lang w:val="fr-LU"/>
        </w:rPr>
        <w:t>s auteurs de</w:t>
      </w:r>
      <w:r w:rsidRPr="00D7220E">
        <w:rPr>
          <w:rFonts w:cs="Arial"/>
          <w:szCs w:val="22"/>
          <w:lang w:val="fr-LU"/>
        </w:rPr>
        <w:t xml:space="preserve"> certain</w:t>
      </w:r>
      <w:r w:rsidR="00DC73FB">
        <w:rPr>
          <w:rFonts w:cs="Arial"/>
          <w:szCs w:val="22"/>
          <w:lang w:val="fr-LU"/>
        </w:rPr>
        <w:t>e</w:t>
      </w:r>
      <w:r w:rsidRPr="00D7220E">
        <w:rPr>
          <w:rFonts w:cs="Arial"/>
          <w:szCs w:val="22"/>
          <w:lang w:val="fr-LU"/>
        </w:rPr>
        <w:t>s</w:t>
      </w:r>
      <w:r w:rsidR="002F01D3">
        <w:rPr>
          <w:rFonts w:cs="Arial"/>
          <w:szCs w:val="22"/>
          <w:lang w:val="fr-LU"/>
        </w:rPr>
        <w:t xml:space="preserve"> des</w:t>
      </w:r>
      <w:r w:rsidRPr="00D7220E">
        <w:rPr>
          <w:rFonts w:cs="Arial"/>
          <w:szCs w:val="22"/>
          <w:lang w:val="fr-LU"/>
        </w:rPr>
        <w:t xml:space="preserve"> infractions visées par </w:t>
      </w:r>
      <w:r w:rsidR="00AB4138">
        <w:rPr>
          <w:rFonts w:cs="Arial"/>
          <w:szCs w:val="22"/>
          <w:lang w:val="fr-LU"/>
        </w:rPr>
        <w:t xml:space="preserve">lesdites </w:t>
      </w:r>
      <w:r w:rsidRPr="00D7220E">
        <w:rPr>
          <w:rFonts w:cs="Arial"/>
          <w:szCs w:val="22"/>
          <w:lang w:val="fr-LU"/>
        </w:rPr>
        <w:t>directive</w:t>
      </w:r>
      <w:r w:rsidR="00AB4138" w:rsidRPr="00AB4138">
        <w:rPr>
          <w:rFonts w:cs="Arial"/>
          <w:szCs w:val="22"/>
          <w:lang w:val="fr-LU"/>
        </w:rPr>
        <w:t>s.</w:t>
      </w:r>
    </w:p>
    <w:p w:rsidR="00AB4138" w:rsidRDefault="00AB4138" w:rsidP="00D7220E">
      <w:pPr>
        <w:spacing w:after="0" w:line="240" w:lineRule="auto"/>
        <w:jc w:val="both"/>
        <w:rPr>
          <w:rFonts w:cs="Arial"/>
          <w:szCs w:val="22"/>
          <w:u w:val="single"/>
          <w:lang w:val="fr-LU"/>
        </w:rPr>
      </w:pPr>
    </w:p>
    <w:p w:rsidR="00D24FA7" w:rsidRDefault="00D7220E" w:rsidP="00D7220E">
      <w:pPr>
        <w:spacing w:after="0" w:line="240" w:lineRule="auto"/>
        <w:jc w:val="both"/>
        <w:rPr>
          <w:rFonts w:cs="Arial"/>
          <w:szCs w:val="22"/>
          <w:lang w:val="fr-LU"/>
        </w:rPr>
      </w:pPr>
      <w:r w:rsidRPr="00D7220E">
        <w:rPr>
          <w:rFonts w:cs="Arial"/>
          <w:szCs w:val="22"/>
          <w:lang w:val="fr-LU"/>
        </w:rPr>
        <w:t>Lorsque le ministre ayant la Protection des consommateurs dans ses attributions prend connaissance du non-respect par un professionnel des dispositions protectrices visées, le projet de loi propose un système en deux temps</w:t>
      </w:r>
      <w:r w:rsidR="00DC73FB">
        <w:rPr>
          <w:rFonts w:cs="Arial"/>
          <w:szCs w:val="22"/>
          <w:lang w:val="fr-LU"/>
        </w:rPr>
        <w:t> :</w:t>
      </w:r>
      <w:r w:rsidRPr="00D7220E">
        <w:rPr>
          <w:rFonts w:cs="Arial"/>
          <w:szCs w:val="22"/>
          <w:lang w:val="fr-LU"/>
        </w:rPr>
        <w:t xml:space="preserve"> dans un premier temps</w:t>
      </w:r>
      <w:r w:rsidR="002F01D3">
        <w:rPr>
          <w:rFonts w:cs="Arial"/>
          <w:szCs w:val="22"/>
          <w:lang w:val="fr-LU"/>
        </w:rPr>
        <w:t>,</w:t>
      </w:r>
      <w:r w:rsidRPr="00D7220E">
        <w:rPr>
          <w:rFonts w:cs="Arial"/>
          <w:szCs w:val="22"/>
          <w:lang w:val="fr-LU"/>
        </w:rPr>
        <w:t xml:space="preserve"> la possibilité d’inviter le professionnel à fournir des explications </w:t>
      </w:r>
      <w:r w:rsidR="00D24FA7" w:rsidRPr="00D7220E">
        <w:rPr>
          <w:rFonts w:cs="Arial"/>
          <w:szCs w:val="22"/>
          <w:lang w:val="fr-LU"/>
        </w:rPr>
        <w:t xml:space="preserve">quant à la pratique incriminée </w:t>
      </w:r>
      <w:r w:rsidRPr="00D7220E">
        <w:rPr>
          <w:rFonts w:cs="Arial"/>
          <w:szCs w:val="22"/>
          <w:lang w:val="fr-LU"/>
        </w:rPr>
        <w:t>et, dans un deuxième temps</w:t>
      </w:r>
      <w:r w:rsidR="002F01D3">
        <w:rPr>
          <w:rFonts w:cs="Arial"/>
          <w:szCs w:val="22"/>
          <w:lang w:val="fr-LU"/>
        </w:rPr>
        <w:t>,</w:t>
      </w:r>
      <w:r w:rsidRPr="00D7220E">
        <w:rPr>
          <w:rFonts w:cs="Arial"/>
          <w:szCs w:val="22"/>
          <w:lang w:val="fr-LU"/>
        </w:rPr>
        <w:t xml:space="preserve"> la possibilité de décerner un avertissement écrit en l’absence de fourniture d’explication ou dès lors que les explications fournies ne sont pas satisfaisantes. À défaut d’une mise en conformité du professionnel avec les dispositions du Code de la consommation, le ministre ayant la Protection des consommateurs dans ses attributions pourra engager une action en cessation ou en interdiction</w:t>
      </w:r>
      <w:r w:rsidR="00D24FA7">
        <w:rPr>
          <w:rFonts w:cs="Arial"/>
          <w:szCs w:val="22"/>
          <w:lang w:val="fr-LU"/>
        </w:rPr>
        <w:t>.</w:t>
      </w:r>
      <w:bookmarkEnd w:id="0"/>
    </w:p>
    <w:sectPr w:rsidR="00D24FA7" w:rsidSect="00B424F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326" w:rsidRDefault="006C5326" w:rsidP="00D7220E">
      <w:pPr>
        <w:spacing w:after="0" w:line="240" w:lineRule="auto"/>
      </w:pPr>
      <w:r>
        <w:separator/>
      </w:r>
    </w:p>
  </w:endnote>
  <w:endnote w:type="continuationSeparator" w:id="0">
    <w:p w:rsidR="006C5326" w:rsidRDefault="006C5326" w:rsidP="00D72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326" w:rsidRDefault="006C5326" w:rsidP="00D7220E">
      <w:pPr>
        <w:spacing w:after="0" w:line="240" w:lineRule="auto"/>
      </w:pPr>
      <w:r>
        <w:separator/>
      </w:r>
    </w:p>
  </w:footnote>
  <w:footnote w:type="continuationSeparator" w:id="0">
    <w:p w:rsidR="006C5326" w:rsidRDefault="006C5326" w:rsidP="00D722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34783"/>
    <w:multiLevelType w:val="hybridMultilevel"/>
    <w:tmpl w:val="6980B6A8"/>
    <w:lvl w:ilvl="0" w:tplc="F468EC7E">
      <w:numFmt w:val="bullet"/>
      <w:lvlText w:val="-"/>
      <w:lvlJc w:val="left"/>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4B2936"/>
    <w:multiLevelType w:val="hybridMultilevel"/>
    <w:tmpl w:val="EC88B9E4"/>
    <w:lvl w:ilvl="0" w:tplc="B1801D0E">
      <w:start w:val="1"/>
      <w:numFmt w:val="bullet"/>
      <w:lvlText w:val=""/>
      <w:lvlJc w:val="left"/>
      <w:pPr>
        <w:ind w:left="720" w:hanging="360"/>
      </w:pPr>
      <w:rPr>
        <w:rFonts w:ascii="Symbol" w:hAnsi="Symbol" w:cs="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6224EB0"/>
    <w:multiLevelType w:val="hybridMultilevel"/>
    <w:tmpl w:val="E04E9C82"/>
    <w:lvl w:ilvl="0" w:tplc="B7827712">
      <w:start w:val="1"/>
      <w:numFmt w:val="decimal"/>
      <w:lvlText w:val="%1°"/>
      <w:lvlJc w:val="left"/>
      <w:pPr>
        <w:ind w:left="720" w:hanging="360"/>
      </w:pPr>
      <w:rPr>
        <w:rFonts w:hint="default"/>
      </w:rPr>
    </w:lvl>
    <w:lvl w:ilvl="1" w:tplc="10070019" w:tentative="1">
      <w:start w:val="1"/>
      <w:numFmt w:val="lowerLetter"/>
      <w:lvlText w:val="%2."/>
      <w:lvlJc w:val="left"/>
      <w:pPr>
        <w:ind w:left="1440" w:hanging="360"/>
      </w:pPr>
    </w:lvl>
    <w:lvl w:ilvl="2" w:tplc="1007001B" w:tentative="1">
      <w:start w:val="1"/>
      <w:numFmt w:val="lowerRoman"/>
      <w:lvlText w:val="%3."/>
      <w:lvlJc w:val="right"/>
      <w:pPr>
        <w:ind w:left="2160" w:hanging="180"/>
      </w:pPr>
    </w:lvl>
    <w:lvl w:ilvl="3" w:tplc="1007000F" w:tentative="1">
      <w:start w:val="1"/>
      <w:numFmt w:val="decimal"/>
      <w:lvlText w:val="%4."/>
      <w:lvlJc w:val="left"/>
      <w:pPr>
        <w:ind w:left="2880" w:hanging="360"/>
      </w:pPr>
    </w:lvl>
    <w:lvl w:ilvl="4" w:tplc="10070019" w:tentative="1">
      <w:start w:val="1"/>
      <w:numFmt w:val="lowerLetter"/>
      <w:lvlText w:val="%5."/>
      <w:lvlJc w:val="left"/>
      <w:pPr>
        <w:ind w:left="3600" w:hanging="360"/>
      </w:pPr>
    </w:lvl>
    <w:lvl w:ilvl="5" w:tplc="1007001B" w:tentative="1">
      <w:start w:val="1"/>
      <w:numFmt w:val="lowerRoman"/>
      <w:lvlText w:val="%6."/>
      <w:lvlJc w:val="right"/>
      <w:pPr>
        <w:ind w:left="4320" w:hanging="180"/>
      </w:pPr>
    </w:lvl>
    <w:lvl w:ilvl="6" w:tplc="1007000F" w:tentative="1">
      <w:start w:val="1"/>
      <w:numFmt w:val="decimal"/>
      <w:lvlText w:val="%7."/>
      <w:lvlJc w:val="left"/>
      <w:pPr>
        <w:ind w:left="5040" w:hanging="360"/>
      </w:pPr>
    </w:lvl>
    <w:lvl w:ilvl="7" w:tplc="10070019" w:tentative="1">
      <w:start w:val="1"/>
      <w:numFmt w:val="lowerLetter"/>
      <w:lvlText w:val="%8."/>
      <w:lvlJc w:val="left"/>
      <w:pPr>
        <w:ind w:left="5760" w:hanging="360"/>
      </w:pPr>
    </w:lvl>
    <w:lvl w:ilvl="8" w:tplc="1007001B" w:tentative="1">
      <w:start w:val="1"/>
      <w:numFmt w:val="lowerRoman"/>
      <w:lvlText w:val="%9."/>
      <w:lvlJc w:val="right"/>
      <w:pPr>
        <w:ind w:left="6480" w:hanging="180"/>
      </w:pPr>
    </w:lvl>
  </w:abstractNum>
  <w:abstractNum w:abstractNumId="3" w15:restartNumberingAfterBreak="0">
    <w:nsid w:val="48FC3A47"/>
    <w:multiLevelType w:val="hybridMultilevel"/>
    <w:tmpl w:val="011031FA"/>
    <w:lvl w:ilvl="0" w:tplc="54D624BE">
      <w:start w:val="1"/>
      <w:numFmt w:val="lowerRoman"/>
      <w:lvlText w:val="(%1)"/>
      <w:lvlJc w:val="left"/>
      <w:pPr>
        <w:ind w:left="1080" w:hanging="720"/>
      </w:pPr>
      <w:rPr>
        <w:rFonts w:hint="default"/>
      </w:rPr>
    </w:lvl>
    <w:lvl w:ilvl="1" w:tplc="10070019" w:tentative="1">
      <w:start w:val="1"/>
      <w:numFmt w:val="lowerLetter"/>
      <w:lvlText w:val="%2."/>
      <w:lvlJc w:val="left"/>
      <w:pPr>
        <w:ind w:left="1440" w:hanging="360"/>
      </w:pPr>
    </w:lvl>
    <w:lvl w:ilvl="2" w:tplc="1007001B" w:tentative="1">
      <w:start w:val="1"/>
      <w:numFmt w:val="lowerRoman"/>
      <w:lvlText w:val="%3."/>
      <w:lvlJc w:val="right"/>
      <w:pPr>
        <w:ind w:left="2160" w:hanging="180"/>
      </w:pPr>
    </w:lvl>
    <w:lvl w:ilvl="3" w:tplc="1007000F" w:tentative="1">
      <w:start w:val="1"/>
      <w:numFmt w:val="decimal"/>
      <w:lvlText w:val="%4."/>
      <w:lvlJc w:val="left"/>
      <w:pPr>
        <w:ind w:left="2880" w:hanging="360"/>
      </w:pPr>
    </w:lvl>
    <w:lvl w:ilvl="4" w:tplc="10070019" w:tentative="1">
      <w:start w:val="1"/>
      <w:numFmt w:val="lowerLetter"/>
      <w:lvlText w:val="%5."/>
      <w:lvlJc w:val="left"/>
      <w:pPr>
        <w:ind w:left="3600" w:hanging="360"/>
      </w:pPr>
    </w:lvl>
    <w:lvl w:ilvl="5" w:tplc="1007001B" w:tentative="1">
      <w:start w:val="1"/>
      <w:numFmt w:val="lowerRoman"/>
      <w:lvlText w:val="%6."/>
      <w:lvlJc w:val="right"/>
      <w:pPr>
        <w:ind w:left="4320" w:hanging="180"/>
      </w:pPr>
    </w:lvl>
    <w:lvl w:ilvl="6" w:tplc="1007000F" w:tentative="1">
      <w:start w:val="1"/>
      <w:numFmt w:val="decimal"/>
      <w:lvlText w:val="%7."/>
      <w:lvlJc w:val="left"/>
      <w:pPr>
        <w:ind w:left="5040" w:hanging="360"/>
      </w:pPr>
    </w:lvl>
    <w:lvl w:ilvl="7" w:tplc="10070019" w:tentative="1">
      <w:start w:val="1"/>
      <w:numFmt w:val="lowerLetter"/>
      <w:lvlText w:val="%8."/>
      <w:lvlJc w:val="left"/>
      <w:pPr>
        <w:ind w:left="5760" w:hanging="360"/>
      </w:pPr>
    </w:lvl>
    <w:lvl w:ilvl="8" w:tplc="1007001B" w:tentative="1">
      <w:start w:val="1"/>
      <w:numFmt w:val="lowerRoman"/>
      <w:lvlText w:val="%9."/>
      <w:lvlJc w:val="right"/>
      <w:pPr>
        <w:ind w:left="6480" w:hanging="180"/>
      </w:pPr>
    </w:lvl>
  </w:abstractNum>
  <w:abstractNum w:abstractNumId="4" w15:restartNumberingAfterBreak="0">
    <w:nsid w:val="58544CB2"/>
    <w:multiLevelType w:val="hybridMultilevel"/>
    <w:tmpl w:val="3056CC9E"/>
    <w:lvl w:ilvl="0" w:tplc="F468EC7E">
      <w:numFmt w:val="bullet"/>
      <w:lvlText w:val="-"/>
      <w:lvlJc w:val="left"/>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F66EAB"/>
    <w:multiLevelType w:val="hybridMultilevel"/>
    <w:tmpl w:val="74543F8E"/>
    <w:lvl w:ilvl="0" w:tplc="10070019">
      <w:start w:val="1"/>
      <w:numFmt w:val="lowerLetter"/>
      <w:lvlText w:val="%1."/>
      <w:lvlJc w:val="left"/>
      <w:pPr>
        <w:ind w:left="720" w:hanging="360"/>
      </w:pPr>
      <w:rPr>
        <w:rFonts w:hint="default"/>
      </w:rPr>
    </w:lvl>
    <w:lvl w:ilvl="1" w:tplc="10070019" w:tentative="1">
      <w:start w:val="1"/>
      <w:numFmt w:val="lowerLetter"/>
      <w:lvlText w:val="%2."/>
      <w:lvlJc w:val="left"/>
      <w:pPr>
        <w:ind w:left="1440" w:hanging="360"/>
      </w:pPr>
    </w:lvl>
    <w:lvl w:ilvl="2" w:tplc="1007001B" w:tentative="1">
      <w:start w:val="1"/>
      <w:numFmt w:val="lowerRoman"/>
      <w:lvlText w:val="%3."/>
      <w:lvlJc w:val="right"/>
      <w:pPr>
        <w:ind w:left="2160" w:hanging="180"/>
      </w:pPr>
    </w:lvl>
    <w:lvl w:ilvl="3" w:tplc="1007000F" w:tentative="1">
      <w:start w:val="1"/>
      <w:numFmt w:val="decimal"/>
      <w:lvlText w:val="%4."/>
      <w:lvlJc w:val="left"/>
      <w:pPr>
        <w:ind w:left="2880" w:hanging="360"/>
      </w:pPr>
    </w:lvl>
    <w:lvl w:ilvl="4" w:tplc="10070019" w:tentative="1">
      <w:start w:val="1"/>
      <w:numFmt w:val="lowerLetter"/>
      <w:lvlText w:val="%5."/>
      <w:lvlJc w:val="left"/>
      <w:pPr>
        <w:ind w:left="3600" w:hanging="360"/>
      </w:pPr>
    </w:lvl>
    <w:lvl w:ilvl="5" w:tplc="1007001B" w:tentative="1">
      <w:start w:val="1"/>
      <w:numFmt w:val="lowerRoman"/>
      <w:lvlText w:val="%6."/>
      <w:lvlJc w:val="right"/>
      <w:pPr>
        <w:ind w:left="4320" w:hanging="180"/>
      </w:pPr>
    </w:lvl>
    <w:lvl w:ilvl="6" w:tplc="1007000F" w:tentative="1">
      <w:start w:val="1"/>
      <w:numFmt w:val="decimal"/>
      <w:lvlText w:val="%7."/>
      <w:lvlJc w:val="left"/>
      <w:pPr>
        <w:ind w:left="5040" w:hanging="360"/>
      </w:pPr>
    </w:lvl>
    <w:lvl w:ilvl="7" w:tplc="10070019" w:tentative="1">
      <w:start w:val="1"/>
      <w:numFmt w:val="lowerLetter"/>
      <w:lvlText w:val="%8."/>
      <w:lvlJc w:val="left"/>
      <w:pPr>
        <w:ind w:left="5760" w:hanging="360"/>
      </w:pPr>
    </w:lvl>
    <w:lvl w:ilvl="8" w:tplc="1007001B" w:tentative="1">
      <w:start w:val="1"/>
      <w:numFmt w:val="lowerRoman"/>
      <w:lvlText w:val="%9."/>
      <w:lvlJc w:val="right"/>
      <w:pPr>
        <w:ind w:left="6480" w:hanging="180"/>
      </w:pPr>
    </w:lvl>
  </w:abstractNum>
  <w:abstractNum w:abstractNumId="6" w15:restartNumberingAfterBreak="0">
    <w:nsid w:val="5E204A3F"/>
    <w:multiLevelType w:val="hybridMultilevel"/>
    <w:tmpl w:val="1FE4CC6A"/>
    <w:lvl w:ilvl="0" w:tplc="F468EC7E">
      <w:numFmt w:val="bullet"/>
      <w:lvlText w:val="-"/>
      <w:lvlJc w:val="left"/>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6029AE"/>
    <w:multiLevelType w:val="hybridMultilevel"/>
    <w:tmpl w:val="AE5A3FCC"/>
    <w:lvl w:ilvl="0" w:tplc="FC5846C0">
      <w:start w:val="1"/>
      <w:numFmt w:val="decimal"/>
      <w:lvlText w:val="%1."/>
      <w:lvlJc w:val="left"/>
      <w:pPr>
        <w:ind w:left="708" w:hanging="360"/>
      </w:pPr>
      <w:rPr>
        <w:b/>
        <w:bCs/>
        <w:u w:val="none"/>
      </w:rPr>
    </w:lvl>
    <w:lvl w:ilvl="1" w:tplc="08090019" w:tentative="1">
      <w:start w:val="1"/>
      <w:numFmt w:val="lowerLetter"/>
      <w:lvlText w:val="%2."/>
      <w:lvlJc w:val="left"/>
      <w:pPr>
        <w:ind w:left="1428" w:hanging="360"/>
      </w:pPr>
    </w:lvl>
    <w:lvl w:ilvl="2" w:tplc="0809001B" w:tentative="1">
      <w:start w:val="1"/>
      <w:numFmt w:val="lowerRoman"/>
      <w:lvlText w:val="%3."/>
      <w:lvlJc w:val="right"/>
      <w:pPr>
        <w:ind w:left="2148" w:hanging="180"/>
      </w:pPr>
    </w:lvl>
    <w:lvl w:ilvl="3" w:tplc="0809000F" w:tentative="1">
      <w:start w:val="1"/>
      <w:numFmt w:val="decimal"/>
      <w:lvlText w:val="%4."/>
      <w:lvlJc w:val="left"/>
      <w:pPr>
        <w:ind w:left="2868" w:hanging="360"/>
      </w:pPr>
    </w:lvl>
    <w:lvl w:ilvl="4" w:tplc="08090019" w:tentative="1">
      <w:start w:val="1"/>
      <w:numFmt w:val="lowerLetter"/>
      <w:lvlText w:val="%5."/>
      <w:lvlJc w:val="left"/>
      <w:pPr>
        <w:ind w:left="3588" w:hanging="360"/>
      </w:pPr>
    </w:lvl>
    <w:lvl w:ilvl="5" w:tplc="0809001B" w:tentative="1">
      <w:start w:val="1"/>
      <w:numFmt w:val="lowerRoman"/>
      <w:lvlText w:val="%6."/>
      <w:lvlJc w:val="right"/>
      <w:pPr>
        <w:ind w:left="4308" w:hanging="180"/>
      </w:pPr>
    </w:lvl>
    <w:lvl w:ilvl="6" w:tplc="0809000F" w:tentative="1">
      <w:start w:val="1"/>
      <w:numFmt w:val="decimal"/>
      <w:lvlText w:val="%7."/>
      <w:lvlJc w:val="left"/>
      <w:pPr>
        <w:ind w:left="5028" w:hanging="360"/>
      </w:pPr>
    </w:lvl>
    <w:lvl w:ilvl="7" w:tplc="08090019" w:tentative="1">
      <w:start w:val="1"/>
      <w:numFmt w:val="lowerLetter"/>
      <w:lvlText w:val="%8."/>
      <w:lvlJc w:val="left"/>
      <w:pPr>
        <w:ind w:left="5748" w:hanging="360"/>
      </w:pPr>
    </w:lvl>
    <w:lvl w:ilvl="8" w:tplc="0809001B" w:tentative="1">
      <w:start w:val="1"/>
      <w:numFmt w:val="lowerRoman"/>
      <w:lvlText w:val="%9."/>
      <w:lvlJc w:val="right"/>
      <w:pPr>
        <w:ind w:left="6468" w:hanging="180"/>
      </w:pPr>
    </w:lvl>
  </w:abstractNum>
  <w:abstractNum w:abstractNumId="8" w15:restartNumberingAfterBreak="0">
    <w:nsid w:val="7C867B59"/>
    <w:multiLevelType w:val="hybridMultilevel"/>
    <w:tmpl w:val="D966D2B2"/>
    <w:lvl w:ilvl="0" w:tplc="A5A2C8B8">
      <w:start w:val="1"/>
      <w:numFmt w:val="lowerLetter"/>
      <w:lvlText w:val="(%1)"/>
      <w:lvlJc w:val="left"/>
      <w:pPr>
        <w:ind w:left="720" w:hanging="360"/>
      </w:pPr>
      <w:rPr>
        <w:rFonts w:hint="default"/>
      </w:rPr>
    </w:lvl>
    <w:lvl w:ilvl="1" w:tplc="10070019" w:tentative="1">
      <w:start w:val="1"/>
      <w:numFmt w:val="lowerLetter"/>
      <w:lvlText w:val="%2."/>
      <w:lvlJc w:val="left"/>
      <w:pPr>
        <w:ind w:left="1440" w:hanging="360"/>
      </w:pPr>
    </w:lvl>
    <w:lvl w:ilvl="2" w:tplc="1007001B" w:tentative="1">
      <w:start w:val="1"/>
      <w:numFmt w:val="lowerRoman"/>
      <w:lvlText w:val="%3."/>
      <w:lvlJc w:val="right"/>
      <w:pPr>
        <w:ind w:left="2160" w:hanging="180"/>
      </w:pPr>
    </w:lvl>
    <w:lvl w:ilvl="3" w:tplc="1007000F" w:tentative="1">
      <w:start w:val="1"/>
      <w:numFmt w:val="decimal"/>
      <w:lvlText w:val="%4."/>
      <w:lvlJc w:val="left"/>
      <w:pPr>
        <w:ind w:left="2880" w:hanging="360"/>
      </w:pPr>
    </w:lvl>
    <w:lvl w:ilvl="4" w:tplc="10070019" w:tentative="1">
      <w:start w:val="1"/>
      <w:numFmt w:val="lowerLetter"/>
      <w:lvlText w:val="%5."/>
      <w:lvlJc w:val="left"/>
      <w:pPr>
        <w:ind w:left="3600" w:hanging="360"/>
      </w:pPr>
    </w:lvl>
    <w:lvl w:ilvl="5" w:tplc="1007001B" w:tentative="1">
      <w:start w:val="1"/>
      <w:numFmt w:val="lowerRoman"/>
      <w:lvlText w:val="%6."/>
      <w:lvlJc w:val="right"/>
      <w:pPr>
        <w:ind w:left="4320" w:hanging="180"/>
      </w:pPr>
    </w:lvl>
    <w:lvl w:ilvl="6" w:tplc="1007000F" w:tentative="1">
      <w:start w:val="1"/>
      <w:numFmt w:val="decimal"/>
      <w:lvlText w:val="%7."/>
      <w:lvlJc w:val="left"/>
      <w:pPr>
        <w:ind w:left="5040" w:hanging="360"/>
      </w:pPr>
    </w:lvl>
    <w:lvl w:ilvl="7" w:tplc="10070019" w:tentative="1">
      <w:start w:val="1"/>
      <w:numFmt w:val="lowerLetter"/>
      <w:lvlText w:val="%8."/>
      <w:lvlJc w:val="left"/>
      <w:pPr>
        <w:ind w:left="5760" w:hanging="360"/>
      </w:pPr>
    </w:lvl>
    <w:lvl w:ilvl="8" w:tplc="1007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7"/>
  </w:num>
  <w:num w:numId="5">
    <w:abstractNumId w:val="5"/>
  </w:num>
  <w:num w:numId="6">
    <w:abstractNumId w:val="8"/>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220E"/>
    <w:rsid w:val="00066E35"/>
    <w:rsid w:val="000861F5"/>
    <w:rsid w:val="000B1CC9"/>
    <w:rsid w:val="00132CAB"/>
    <w:rsid w:val="00295CFB"/>
    <w:rsid w:val="002F01D3"/>
    <w:rsid w:val="0035619D"/>
    <w:rsid w:val="00584983"/>
    <w:rsid w:val="006C5326"/>
    <w:rsid w:val="00776261"/>
    <w:rsid w:val="00790EF5"/>
    <w:rsid w:val="007B1749"/>
    <w:rsid w:val="007F1A5A"/>
    <w:rsid w:val="00853317"/>
    <w:rsid w:val="008B5A2D"/>
    <w:rsid w:val="008E05EC"/>
    <w:rsid w:val="009029C8"/>
    <w:rsid w:val="00A04B72"/>
    <w:rsid w:val="00A33027"/>
    <w:rsid w:val="00AB0E21"/>
    <w:rsid w:val="00AB4138"/>
    <w:rsid w:val="00B424FD"/>
    <w:rsid w:val="00BF3FF2"/>
    <w:rsid w:val="00D24FA7"/>
    <w:rsid w:val="00D7220E"/>
    <w:rsid w:val="00DC73FB"/>
    <w:rsid w:val="00EC624F"/>
    <w:rsid w:val="00F2781C"/>
    <w:rsid w:val="00F312E9"/>
    <w:rsid w:val="00FA1F62"/>
    <w:rsid w:val="00FF7A1E"/>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ACD49AC-DDB6-45FB-8064-5D9ECC01E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4"/>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D7220E"/>
    <w:pPr>
      <w:spacing w:after="0" w:line="240" w:lineRule="auto"/>
      <w:jc w:val="both"/>
    </w:pPr>
    <w:rPr>
      <w:rFonts w:ascii="Tahoma" w:hAnsi="Tahoma"/>
      <w:sz w:val="20"/>
      <w:szCs w:val="20"/>
      <w:lang w:val="fr-LU"/>
    </w:rPr>
  </w:style>
  <w:style w:type="character" w:customStyle="1" w:styleId="NotedebasdepageCar">
    <w:name w:val="Note de bas de page Car"/>
    <w:link w:val="Notedebasdepage"/>
    <w:rsid w:val="00D7220E"/>
    <w:rPr>
      <w:rFonts w:ascii="Tahoma" w:hAnsi="Tahoma"/>
      <w:lang w:val="fr-LU" w:eastAsia="en-US"/>
    </w:rPr>
  </w:style>
  <w:style w:type="character" w:styleId="Appelnotedebasdep">
    <w:name w:val="footnote reference"/>
    <w:aliases w:val="Footnote symbol,Footnote reference number,Times 10 Point,Exposant 3 Point,EN Footnote Reference,note TESI,SUPERS,Nota,Footnote number,Char1,Ref,de nota al pie,EN Footnote text,Footnote Reference_LVL6,E..."/>
    <w:uiPriority w:val="99"/>
    <w:unhideWhenUsed/>
    <w:rsid w:val="00D7220E"/>
    <w:rPr>
      <w:vertAlign w:val="superscript"/>
    </w:rPr>
  </w:style>
  <w:style w:type="character" w:styleId="Marquedecommentaire">
    <w:name w:val="annotation reference"/>
    <w:uiPriority w:val="99"/>
    <w:semiHidden/>
    <w:unhideWhenUsed/>
    <w:rsid w:val="00FF7A1E"/>
    <w:rPr>
      <w:sz w:val="16"/>
      <w:szCs w:val="16"/>
    </w:rPr>
  </w:style>
  <w:style w:type="paragraph" w:styleId="Commentaire">
    <w:name w:val="annotation text"/>
    <w:basedOn w:val="Normal"/>
    <w:link w:val="CommentaireCar"/>
    <w:uiPriority w:val="99"/>
    <w:semiHidden/>
    <w:unhideWhenUsed/>
    <w:rsid w:val="00FF7A1E"/>
    <w:rPr>
      <w:sz w:val="20"/>
      <w:szCs w:val="20"/>
    </w:rPr>
  </w:style>
  <w:style w:type="character" w:customStyle="1" w:styleId="CommentaireCar">
    <w:name w:val="Commentaire Car"/>
    <w:link w:val="Commentaire"/>
    <w:uiPriority w:val="99"/>
    <w:semiHidden/>
    <w:rsid w:val="00FF7A1E"/>
    <w:rPr>
      <w:lang w:eastAsia="en-US"/>
    </w:rPr>
  </w:style>
  <w:style w:type="paragraph" w:styleId="Objetducommentaire">
    <w:name w:val="annotation subject"/>
    <w:basedOn w:val="Commentaire"/>
    <w:next w:val="Commentaire"/>
    <w:link w:val="ObjetducommentaireCar"/>
    <w:uiPriority w:val="99"/>
    <w:semiHidden/>
    <w:unhideWhenUsed/>
    <w:rsid w:val="00FF7A1E"/>
    <w:rPr>
      <w:b/>
      <w:bCs/>
    </w:rPr>
  </w:style>
  <w:style w:type="character" w:customStyle="1" w:styleId="ObjetducommentaireCar">
    <w:name w:val="Objet du commentaire Car"/>
    <w:link w:val="Objetducommentaire"/>
    <w:uiPriority w:val="99"/>
    <w:semiHidden/>
    <w:rsid w:val="00FF7A1E"/>
    <w:rPr>
      <w:b/>
      <w:bCs/>
      <w:lang w:eastAsia="en-US"/>
    </w:rPr>
  </w:style>
  <w:style w:type="paragraph" w:styleId="Textedebulles">
    <w:name w:val="Balloon Text"/>
    <w:basedOn w:val="Normal"/>
    <w:link w:val="TextedebullesCar"/>
    <w:uiPriority w:val="99"/>
    <w:semiHidden/>
    <w:unhideWhenUsed/>
    <w:rsid w:val="00FF7A1E"/>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FF7A1E"/>
    <w:rPr>
      <w:rFonts w:ascii="Segoe UI" w:hAnsi="Segoe UI" w:cs="Segoe UI"/>
      <w:sz w:val="18"/>
      <w:szCs w:val="18"/>
      <w:lang w:eastAsia="en-US"/>
    </w:rPr>
  </w:style>
  <w:style w:type="paragraph" w:styleId="Rvision">
    <w:name w:val="Revision"/>
    <w:hidden/>
    <w:uiPriority w:val="99"/>
    <w:semiHidden/>
    <w:rsid w:val="00BF3FF2"/>
    <w:rPr>
      <w:sz w:val="22"/>
      <w:szCs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DP7904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7904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/sftpecos/Dossiers_parlementaires/7904/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AA4C2BE-29A5-47A0-8AF8-584320213402}"/>
</file>

<file path=customXml/itemProps2.xml><?xml version="1.0" encoding="utf-8"?>
<ds:datastoreItem xmlns:ds="http://schemas.openxmlformats.org/officeDocument/2006/customXml" ds:itemID="{D25F4AA9-26A0-4DD4-9FA8-7C4053526A0E}"/>
</file>

<file path=customXml/itemProps3.xml><?xml version="1.0" encoding="utf-8"?>
<ds:datastoreItem xmlns:ds="http://schemas.openxmlformats.org/officeDocument/2006/customXml" ds:itemID="{536428B3-8B44-4FE0-90ED-804111E11FF9}"/>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2751</Characters>
  <Application>Microsoft Office Word</Application>
  <DocSecurity>4</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Timon OESCH</dc:creator>
  <cp:keywords/>
  <dc:description/>
  <cp:lastModifiedBy>SYSTEM</cp:lastModifiedBy>
  <cp:revision>2</cp:revision>
  <dcterms:created xsi:type="dcterms:W3CDTF">2024-02-21T08:00:00Z</dcterms:created>
  <dcterms:modified xsi:type="dcterms:W3CDTF">2024-02-21T08:00:00Z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