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DC4482" w:rsidP="008C6FD2">
      <w:pPr>
        <w:tabs>
          <w:tab w:val="center" w:pos="4536"/>
          <w:tab w:val="left" w:pos="5265"/>
        </w:tabs>
        <w:jc w:val="center"/>
        <w:rPr>
          <w:rFonts w:ascii="Arial" w:hAnsi="Arial" w:cs="Arial"/>
          <w:b/>
        </w:rPr>
      </w:pPr>
      <w:bookmarkStart w:id="0" w:name="_GoBack"/>
      <w:bookmarkEnd w:id="0"/>
      <w:r>
        <w:rPr>
          <w:rFonts w:ascii="Arial" w:hAnsi="Arial" w:cs="Arial"/>
          <w:b/>
        </w:rPr>
        <w:t>7</w:t>
      </w:r>
      <w:r w:rsidR="007D0B56">
        <w:rPr>
          <w:rFonts w:ascii="Arial" w:hAnsi="Arial" w:cs="Arial"/>
          <w:b/>
        </w:rPr>
        <w:t>8</w:t>
      </w:r>
      <w:r w:rsidR="00D83D5F">
        <w:rPr>
          <w:rFonts w:ascii="Arial" w:hAnsi="Arial" w:cs="Arial"/>
          <w:b/>
        </w:rPr>
        <w:t>92</w:t>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332A0" w:rsidRDefault="005332A0" w:rsidP="005332A0">
      <w:pPr>
        <w:autoSpaceDE w:val="0"/>
        <w:autoSpaceDN w:val="0"/>
        <w:adjustRightInd w:val="0"/>
        <w:jc w:val="center"/>
        <w:rPr>
          <w:rFonts w:ascii="Arial" w:eastAsia="Calibri" w:hAnsi="Arial" w:cs="Arial"/>
          <w:b/>
          <w:bCs/>
          <w:color w:val="000000"/>
          <w:spacing w:val="1"/>
          <w:lang w:val="fr-LU" w:eastAsia="en-US"/>
        </w:rPr>
      </w:pPr>
    </w:p>
    <w:p w:rsidR="007D0B56" w:rsidRPr="007D0B56" w:rsidRDefault="007D0B56" w:rsidP="007D0B56">
      <w:pPr>
        <w:pStyle w:val="Default"/>
        <w:jc w:val="both"/>
        <w:rPr>
          <w:rFonts w:ascii="Arial" w:hAnsi="Arial" w:cs="Arial"/>
          <w:b/>
          <w:bCs/>
          <w:spacing w:val="1"/>
          <w:sz w:val="22"/>
          <w:szCs w:val="22"/>
        </w:rPr>
      </w:pPr>
    </w:p>
    <w:p w:rsidR="00D83D5F" w:rsidRPr="00D83D5F" w:rsidRDefault="00D83D5F" w:rsidP="00D83D5F">
      <w:pPr>
        <w:pStyle w:val="Default"/>
        <w:jc w:val="center"/>
        <w:rPr>
          <w:rFonts w:ascii="Arial" w:hAnsi="Arial" w:cs="Arial"/>
          <w:b/>
          <w:bCs/>
          <w:spacing w:val="1"/>
        </w:rPr>
      </w:pPr>
      <w:r w:rsidRPr="00D83D5F">
        <w:rPr>
          <w:rFonts w:ascii="Arial" w:hAnsi="Arial" w:cs="Arial"/>
          <w:b/>
          <w:bCs/>
          <w:spacing w:val="1"/>
        </w:rPr>
        <w:t>portant modification :</w:t>
      </w:r>
    </w:p>
    <w:p w:rsidR="00D83D5F" w:rsidRPr="00D83D5F" w:rsidRDefault="00D83D5F" w:rsidP="00D83D5F">
      <w:pPr>
        <w:pStyle w:val="Default"/>
        <w:jc w:val="center"/>
        <w:rPr>
          <w:rFonts w:ascii="Arial" w:hAnsi="Arial" w:cs="Arial"/>
          <w:b/>
          <w:bCs/>
          <w:spacing w:val="1"/>
        </w:rPr>
      </w:pPr>
      <w:r w:rsidRPr="00D83D5F">
        <w:rPr>
          <w:rFonts w:ascii="Arial" w:hAnsi="Arial" w:cs="Arial"/>
          <w:b/>
          <w:bCs/>
          <w:spacing w:val="1"/>
        </w:rPr>
        <w:t>1° de la loi communale modifiée du 13 décembre 1988 ;</w:t>
      </w:r>
    </w:p>
    <w:p w:rsidR="00D83D5F" w:rsidRPr="00D83D5F" w:rsidRDefault="00D83D5F" w:rsidP="00D83D5F">
      <w:pPr>
        <w:pStyle w:val="Default"/>
        <w:jc w:val="center"/>
        <w:rPr>
          <w:rFonts w:ascii="Arial" w:hAnsi="Arial" w:cs="Arial"/>
          <w:b/>
          <w:bCs/>
          <w:spacing w:val="1"/>
        </w:rPr>
      </w:pPr>
      <w:r w:rsidRPr="00D83D5F">
        <w:rPr>
          <w:rFonts w:ascii="Arial" w:hAnsi="Arial" w:cs="Arial"/>
          <w:b/>
          <w:bCs/>
          <w:spacing w:val="1"/>
        </w:rPr>
        <w:t>2° de la loi modifiée du 10 juillet 2011 portant organisation de</w:t>
      </w:r>
    </w:p>
    <w:p w:rsidR="00D83D5F" w:rsidRPr="00D83D5F" w:rsidRDefault="00D83D5F" w:rsidP="00D83D5F">
      <w:pPr>
        <w:pStyle w:val="Default"/>
        <w:jc w:val="center"/>
        <w:rPr>
          <w:rFonts w:ascii="Arial" w:hAnsi="Arial" w:cs="Arial"/>
          <w:b/>
          <w:bCs/>
          <w:spacing w:val="1"/>
        </w:rPr>
      </w:pPr>
      <w:r w:rsidRPr="00D83D5F">
        <w:rPr>
          <w:rFonts w:ascii="Arial" w:hAnsi="Arial" w:cs="Arial"/>
          <w:b/>
          <w:bCs/>
          <w:spacing w:val="1"/>
        </w:rPr>
        <w:t>l’Institut national de la statistique et des études économiques</w:t>
      </w:r>
    </w:p>
    <w:p w:rsidR="00D83D5F" w:rsidRPr="00D83D5F" w:rsidRDefault="00D83D5F" w:rsidP="00D83D5F">
      <w:pPr>
        <w:pStyle w:val="Default"/>
        <w:jc w:val="center"/>
        <w:rPr>
          <w:rFonts w:ascii="Arial" w:hAnsi="Arial" w:cs="Arial"/>
          <w:b/>
          <w:bCs/>
          <w:spacing w:val="1"/>
        </w:rPr>
      </w:pPr>
      <w:r w:rsidRPr="00D83D5F">
        <w:rPr>
          <w:rFonts w:ascii="Arial" w:hAnsi="Arial" w:cs="Arial"/>
          <w:b/>
          <w:bCs/>
          <w:spacing w:val="1"/>
        </w:rPr>
        <w:t>et modifiant la loi modifiée du 22 juin 1963 fixant le</w:t>
      </w:r>
    </w:p>
    <w:p w:rsidR="00D83D5F" w:rsidRPr="00D83D5F" w:rsidRDefault="00D83D5F" w:rsidP="00D83D5F">
      <w:pPr>
        <w:pStyle w:val="Default"/>
        <w:jc w:val="center"/>
        <w:rPr>
          <w:rFonts w:ascii="Arial" w:hAnsi="Arial" w:cs="Arial"/>
          <w:b/>
          <w:bCs/>
          <w:spacing w:val="1"/>
        </w:rPr>
      </w:pPr>
      <w:r w:rsidRPr="00D83D5F">
        <w:rPr>
          <w:rFonts w:ascii="Arial" w:hAnsi="Arial" w:cs="Arial"/>
          <w:b/>
          <w:bCs/>
          <w:spacing w:val="1"/>
        </w:rPr>
        <w:t>régime des traitements des fonctionnaires de l’Etat ;</w:t>
      </w:r>
    </w:p>
    <w:p w:rsidR="00D83D5F" w:rsidRPr="00D83D5F" w:rsidRDefault="00D83D5F" w:rsidP="00D83D5F">
      <w:pPr>
        <w:pStyle w:val="Default"/>
        <w:jc w:val="center"/>
        <w:rPr>
          <w:rFonts w:ascii="Arial" w:hAnsi="Arial" w:cs="Arial"/>
          <w:b/>
          <w:bCs/>
          <w:spacing w:val="1"/>
        </w:rPr>
      </w:pPr>
      <w:r w:rsidRPr="00D83D5F">
        <w:rPr>
          <w:rFonts w:ascii="Arial" w:hAnsi="Arial" w:cs="Arial"/>
          <w:b/>
          <w:bCs/>
          <w:spacing w:val="1"/>
        </w:rPr>
        <w:t>3° de la loi modifiée du 19 juin 2013 relative à l’identification</w:t>
      </w:r>
    </w:p>
    <w:p w:rsidR="00D83D5F" w:rsidRPr="00D83D5F" w:rsidRDefault="00D83D5F" w:rsidP="00D83D5F">
      <w:pPr>
        <w:pStyle w:val="Default"/>
        <w:jc w:val="center"/>
        <w:rPr>
          <w:rFonts w:ascii="Arial" w:hAnsi="Arial" w:cs="Arial"/>
          <w:b/>
          <w:bCs/>
          <w:spacing w:val="1"/>
        </w:rPr>
      </w:pPr>
      <w:r w:rsidRPr="00D83D5F">
        <w:rPr>
          <w:rFonts w:ascii="Arial" w:hAnsi="Arial" w:cs="Arial"/>
          <w:b/>
          <w:bCs/>
          <w:spacing w:val="1"/>
        </w:rPr>
        <w:t>des personnes physiques</w:t>
      </w:r>
    </w:p>
    <w:p w:rsidR="00A16377" w:rsidRDefault="00A16377" w:rsidP="007D0B56">
      <w:pPr>
        <w:pStyle w:val="Default"/>
        <w:jc w:val="center"/>
        <w:rPr>
          <w:rFonts w:ascii="Arial" w:hAnsi="Arial" w:cs="Arial"/>
          <w:b/>
          <w:bCs/>
          <w:spacing w:val="1"/>
          <w:szCs w:val="22"/>
        </w:rPr>
      </w:pPr>
    </w:p>
    <w:p w:rsidR="00A16377" w:rsidRDefault="00A16377" w:rsidP="00A16377">
      <w:pPr>
        <w:jc w:val="both"/>
        <w:rPr>
          <w:rFonts w:ascii="Arial" w:hAnsi="Arial" w:cs="Arial"/>
        </w:rPr>
      </w:pPr>
    </w:p>
    <w:p w:rsidR="007D0B56" w:rsidRPr="00E03675" w:rsidRDefault="00E03675" w:rsidP="00E03675">
      <w:pPr>
        <w:autoSpaceDE w:val="0"/>
        <w:autoSpaceDN w:val="0"/>
        <w:adjustRightInd w:val="0"/>
        <w:jc w:val="both"/>
        <w:rPr>
          <w:rFonts w:ascii="Arial" w:eastAsia="Calibri" w:hAnsi="Arial" w:cs="Arial"/>
          <w:b/>
          <w:color w:val="000000"/>
          <w:sz w:val="22"/>
          <w:lang w:val="fr-LU" w:eastAsia="en-US"/>
        </w:rPr>
      </w:pPr>
      <w:r w:rsidRPr="00E03675">
        <w:rPr>
          <w:rFonts w:ascii="Arial" w:hAnsi="Arial" w:cs="Arial"/>
          <w:sz w:val="22"/>
        </w:rPr>
        <w:t xml:space="preserve">Vu que les élections législatives et communales auront lieu en 2023, il y a lieu d’avancer les élections communales du deuxième dimanche du mois d’octobre au premier dimanche du mois de juin 2023 ou à l’un des deux dimanches précédant ou suivant ce jour. En exécution de l’article 186 de la loi électorale modifiée du 18 février 2003, le </w:t>
      </w:r>
      <w:r w:rsidRPr="00E03675">
        <w:rPr>
          <w:rFonts w:ascii="Arial" w:hAnsi="Arial" w:cs="Arial"/>
          <w:bCs/>
          <w:sz w:val="22"/>
        </w:rPr>
        <w:t>règlement grand-ducal du 3 décembre 2021 a fixé la date pour les élections communales de 2023 au 11 juin.</w:t>
      </w:r>
      <w:r w:rsidRPr="00E03675">
        <w:rPr>
          <w:rFonts w:ascii="Arial" w:hAnsi="Arial" w:cs="Arial"/>
          <w:sz w:val="22"/>
        </w:rPr>
        <w:t xml:space="preserve"> Il y a lieu de procéder encore à des modifications au niveau de la loi communale modifiée du 13 décembre 1988, ci-après « loi communale », afin de compléter le cadre légal actuellement en place par des dispositions supplémentaires qui tiennent compte de l’organisation d’élections communales ordinaires, soit au mois de mai, soit au mois de juin.</w:t>
      </w:r>
    </w:p>
    <w:p w:rsidR="007D0B56" w:rsidRDefault="007D0B56" w:rsidP="005332A0">
      <w:pPr>
        <w:autoSpaceDE w:val="0"/>
        <w:autoSpaceDN w:val="0"/>
        <w:adjustRightInd w:val="0"/>
        <w:jc w:val="center"/>
        <w:rPr>
          <w:rFonts w:ascii="Arial" w:eastAsia="Calibri" w:hAnsi="Arial" w:cs="Arial"/>
          <w:b/>
          <w:color w:val="000000"/>
          <w:lang w:val="fr-LU" w:eastAsia="en-US"/>
        </w:rPr>
      </w:pPr>
    </w:p>
    <w:p w:rsidR="00E03675" w:rsidRDefault="00E03675" w:rsidP="00E03675">
      <w:pPr>
        <w:jc w:val="both"/>
        <w:rPr>
          <w:rFonts w:ascii="Arial" w:hAnsi="Arial" w:cs="Arial"/>
          <w:sz w:val="22"/>
        </w:rPr>
      </w:pPr>
      <w:r w:rsidRPr="00E03675">
        <w:rPr>
          <w:rFonts w:ascii="Arial" w:hAnsi="Arial" w:cs="Arial"/>
          <w:sz w:val="22"/>
        </w:rPr>
        <w:t>Les articles relatifs à la fixation du nombre des conseillers communaux, à la fixation du nombre d’échevins, à la cessation des fonctions du conseil communal ainsi qu’au point de départ du mandat, respectivement suite à des élections communales ordinaires conformément à l’article 186 précité de la loi électorale modifiée ou à une dissolution du conseil communal conformément à l’article 190 de la loi électorale modifiée, sont adapt</w:t>
      </w:r>
      <w:r w:rsidR="00831E77">
        <w:rPr>
          <w:rFonts w:ascii="Arial" w:hAnsi="Arial" w:cs="Arial"/>
          <w:sz w:val="22"/>
        </w:rPr>
        <w:t>és</w:t>
      </w:r>
      <w:r w:rsidRPr="00E03675">
        <w:rPr>
          <w:rFonts w:ascii="Arial" w:hAnsi="Arial" w:cs="Arial"/>
          <w:sz w:val="22"/>
        </w:rPr>
        <w:t xml:space="preserve">. </w:t>
      </w:r>
    </w:p>
    <w:p w:rsidR="005428E1" w:rsidRDefault="005428E1" w:rsidP="00E03675">
      <w:pPr>
        <w:jc w:val="both"/>
        <w:rPr>
          <w:rFonts w:ascii="Arial" w:hAnsi="Arial" w:cs="Arial"/>
          <w:sz w:val="22"/>
        </w:rPr>
      </w:pPr>
    </w:p>
    <w:p w:rsidR="000C7EF8" w:rsidRPr="00FC0E19" w:rsidRDefault="005428E1" w:rsidP="00E4413E">
      <w:pPr>
        <w:jc w:val="both"/>
        <w:rPr>
          <w:rFonts w:ascii="Arial" w:hAnsi="Arial" w:cs="Arial"/>
          <w:b/>
        </w:rPr>
      </w:pPr>
      <w:r w:rsidRPr="005428E1">
        <w:rPr>
          <w:rFonts w:ascii="Arial" w:hAnsi="Arial" w:cs="Arial"/>
          <w:sz w:val="22"/>
        </w:rPr>
        <w:t xml:space="preserve">En outre, </w:t>
      </w:r>
      <w:r w:rsidR="00E674F1">
        <w:rPr>
          <w:rFonts w:ascii="Arial" w:hAnsi="Arial" w:cs="Arial"/>
          <w:sz w:val="22"/>
        </w:rPr>
        <w:t xml:space="preserve">le </w:t>
      </w:r>
      <w:r w:rsidR="00E674F1" w:rsidRPr="00205ACC">
        <w:rPr>
          <w:rFonts w:ascii="Arial" w:hAnsi="Arial" w:cs="Arial"/>
          <w:sz w:val="22"/>
          <w:szCs w:val="22"/>
        </w:rPr>
        <w:t xml:space="preserve">projet de loi </w:t>
      </w:r>
      <w:r w:rsidR="00E674F1">
        <w:rPr>
          <w:rFonts w:ascii="Arial" w:hAnsi="Arial" w:cs="Arial"/>
          <w:sz w:val="22"/>
          <w:szCs w:val="22"/>
        </w:rPr>
        <w:t xml:space="preserve">sous rubrique </w:t>
      </w:r>
      <w:r w:rsidR="00E674F1" w:rsidRPr="00205ACC">
        <w:rPr>
          <w:rFonts w:ascii="Arial" w:hAnsi="Arial" w:cs="Arial"/>
          <w:sz w:val="22"/>
          <w:szCs w:val="22"/>
        </w:rPr>
        <w:t xml:space="preserve">vise à </w:t>
      </w:r>
      <w:r w:rsidRPr="005428E1">
        <w:rPr>
          <w:rFonts w:ascii="Arial" w:hAnsi="Arial" w:cs="Arial"/>
          <w:sz w:val="22"/>
        </w:rPr>
        <w:t>changer la base de données servant à la détermination du nombre de conseillers communaux et du nombre des échevins à attribuer à chaque commune. Il est ainsi proposé de remplacer les chiffres du recensement général de la population par le nombre d’habitants du registre national des personnes physiques.</w:t>
      </w:r>
    </w:p>
    <w:sectPr w:rsidR="000C7EF8" w:rsidRPr="00FC0E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61" w:rsidRDefault="001B7661" w:rsidP="00F64489">
      <w:r>
        <w:separator/>
      </w:r>
    </w:p>
  </w:endnote>
  <w:endnote w:type="continuationSeparator" w:id="0">
    <w:p w:rsidR="001B7661" w:rsidRDefault="001B7661"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61" w:rsidRDefault="001B7661" w:rsidP="00F64489">
      <w:r>
        <w:separator/>
      </w:r>
    </w:p>
  </w:footnote>
  <w:footnote w:type="continuationSeparator" w:id="0">
    <w:p w:rsidR="001B7661" w:rsidRDefault="001B7661"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1D6721FC"/>
    <w:multiLevelType w:val="hybridMultilevel"/>
    <w:tmpl w:val="E59411E2"/>
    <w:lvl w:ilvl="0" w:tplc="C494010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3" w15:restartNumberingAfterBreak="0">
    <w:nsid w:val="74DC7226"/>
    <w:multiLevelType w:val="hybridMultilevel"/>
    <w:tmpl w:val="F49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2"/>
  </w:num>
  <w:num w:numId="5">
    <w:abstractNumId w:val="8"/>
  </w:num>
  <w:num w:numId="6">
    <w:abstractNumId w:val="11"/>
  </w:num>
  <w:num w:numId="7">
    <w:abstractNumId w:val="0"/>
  </w:num>
  <w:num w:numId="8">
    <w:abstractNumId w:val="7"/>
  </w:num>
  <w:num w:numId="9">
    <w:abstractNumId w:val="10"/>
  </w:num>
  <w:num w:numId="10">
    <w:abstractNumId w:val="3"/>
  </w:num>
  <w:num w:numId="11">
    <w:abstractNumId w:val="6"/>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C7EF8"/>
    <w:rsid w:val="000F4793"/>
    <w:rsid w:val="00116BC8"/>
    <w:rsid w:val="00127738"/>
    <w:rsid w:val="001443D7"/>
    <w:rsid w:val="00156290"/>
    <w:rsid w:val="00166A32"/>
    <w:rsid w:val="00171283"/>
    <w:rsid w:val="00193625"/>
    <w:rsid w:val="001A071E"/>
    <w:rsid w:val="001B73E2"/>
    <w:rsid w:val="001B7661"/>
    <w:rsid w:val="001F270E"/>
    <w:rsid w:val="00205ACC"/>
    <w:rsid w:val="00232E53"/>
    <w:rsid w:val="00244BDD"/>
    <w:rsid w:val="002450C5"/>
    <w:rsid w:val="00261FB1"/>
    <w:rsid w:val="0027627F"/>
    <w:rsid w:val="002A018F"/>
    <w:rsid w:val="002A0C31"/>
    <w:rsid w:val="002E7F09"/>
    <w:rsid w:val="002F3BFE"/>
    <w:rsid w:val="00301EF3"/>
    <w:rsid w:val="003137AC"/>
    <w:rsid w:val="00315258"/>
    <w:rsid w:val="003277F2"/>
    <w:rsid w:val="003357C8"/>
    <w:rsid w:val="003428B6"/>
    <w:rsid w:val="00365E9C"/>
    <w:rsid w:val="003846C1"/>
    <w:rsid w:val="0039081D"/>
    <w:rsid w:val="0039147B"/>
    <w:rsid w:val="00396F4A"/>
    <w:rsid w:val="003B61B9"/>
    <w:rsid w:val="003C4C50"/>
    <w:rsid w:val="003F0254"/>
    <w:rsid w:val="00437B54"/>
    <w:rsid w:val="004540DE"/>
    <w:rsid w:val="00461F0D"/>
    <w:rsid w:val="00463738"/>
    <w:rsid w:val="004642F9"/>
    <w:rsid w:val="00472199"/>
    <w:rsid w:val="00486FD9"/>
    <w:rsid w:val="004A1A24"/>
    <w:rsid w:val="004D384B"/>
    <w:rsid w:val="004D3911"/>
    <w:rsid w:val="004E16AB"/>
    <w:rsid w:val="004E5E4B"/>
    <w:rsid w:val="0051074A"/>
    <w:rsid w:val="00513853"/>
    <w:rsid w:val="0053130F"/>
    <w:rsid w:val="005332A0"/>
    <w:rsid w:val="005428E1"/>
    <w:rsid w:val="00554D00"/>
    <w:rsid w:val="00556CBD"/>
    <w:rsid w:val="00584688"/>
    <w:rsid w:val="00593EEF"/>
    <w:rsid w:val="005A141D"/>
    <w:rsid w:val="005A5C44"/>
    <w:rsid w:val="005B770E"/>
    <w:rsid w:val="005C5FB2"/>
    <w:rsid w:val="005D0D19"/>
    <w:rsid w:val="005E6B21"/>
    <w:rsid w:val="005E7D9B"/>
    <w:rsid w:val="005F0B52"/>
    <w:rsid w:val="00611A2A"/>
    <w:rsid w:val="00613876"/>
    <w:rsid w:val="00615B6A"/>
    <w:rsid w:val="006163E6"/>
    <w:rsid w:val="0065481F"/>
    <w:rsid w:val="00661D82"/>
    <w:rsid w:val="006A02CE"/>
    <w:rsid w:val="006C6DAD"/>
    <w:rsid w:val="006D38A3"/>
    <w:rsid w:val="006E5A7A"/>
    <w:rsid w:val="00703DD4"/>
    <w:rsid w:val="00704B8A"/>
    <w:rsid w:val="00722236"/>
    <w:rsid w:val="00746443"/>
    <w:rsid w:val="00753A88"/>
    <w:rsid w:val="00756296"/>
    <w:rsid w:val="007608FB"/>
    <w:rsid w:val="00791AA4"/>
    <w:rsid w:val="007B14C7"/>
    <w:rsid w:val="007D078D"/>
    <w:rsid w:val="007D0B56"/>
    <w:rsid w:val="007E2666"/>
    <w:rsid w:val="008008FD"/>
    <w:rsid w:val="008174FF"/>
    <w:rsid w:val="00823F7A"/>
    <w:rsid w:val="00831E77"/>
    <w:rsid w:val="00836EE2"/>
    <w:rsid w:val="008413B3"/>
    <w:rsid w:val="008812FA"/>
    <w:rsid w:val="008933EF"/>
    <w:rsid w:val="008C6FD2"/>
    <w:rsid w:val="008C7AFB"/>
    <w:rsid w:val="008D0BD4"/>
    <w:rsid w:val="008D5CA8"/>
    <w:rsid w:val="008E1D5E"/>
    <w:rsid w:val="008F0660"/>
    <w:rsid w:val="008F7FE0"/>
    <w:rsid w:val="00900B74"/>
    <w:rsid w:val="00934486"/>
    <w:rsid w:val="00940FA2"/>
    <w:rsid w:val="009625FC"/>
    <w:rsid w:val="00975985"/>
    <w:rsid w:val="00980CBA"/>
    <w:rsid w:val="0099773B"/>
    <w:rsid w:val="009A2F43"/>
    <w:rsid w:val="009B089C"/>
    <w:rsid w:val="009E0540"/>
    <w:rsid w:val="009E37B8"/>
    <w:rsid w:val="00A16377"/>
    <w:rsid w:val="00A21310"/>
    <w:rsid w:val="00A2599A"/>
    <w:rsid w:val="00A7077A"/>
    <w:rsid w:val="00A72506"/>
    <w:rsid w:val="00A768B9"/>
    <w:rsid w:val="00A92477"/>
    <w:rsid w:val="00A94031"/>
    <w:rsid w:val="00AB523D"/>
    <w:rsid w:val="00AC3345"/>
    <w:rsid w:val="00AC5F70"/>
    <w:rsid w:val="00AE2A4E"/>
    <w:rsid w:val="00AF0C78"/>
    <w:rsid w:val="00AF1494"/>
    <w:rsid w:val="00AF23C3"/>
    <w:rsid w:val="00AF4723"/>
    <w:rsid w:val="00B017AB"/>
    <w:rsid w:val="00B17C5A"/>
    <w:rsid w:val="00B21027"/>
    <w:rsid w:val="00B24938"/>
    <w:rsid w:val="00B27C66"/>
    <w:rsid w:val="00B44BCB"/>
    <w:rsid w:val="00B52757"/>
    <w:rsid w:val="00B54DB7"/>
    <w:rsid w:val="00B65E8B"/>
    <w:rsid w:val="00B9054F"/>
    <w:rsid w:val="00B92C9B"/>
    <w:rsid w:val="00BB25B0"/>
    <w:rsid w:val="00BB4E76"/>
    <w:rsid w:val="00BE2372"/>
    <w:rsid w:val="00C03363"/>
    <w:rsid w:val="00C05D50"/>
    <w:rsid w:val="00C24E31"/>
    <w:rsid w:val="00C2754C"/>
    <w:rsid w:val="00C518A7"/>
    <w:rsid w:val="00C51E15"/>
    <w:rsid w:val="00C5204B"/>
    <w:rsid w:val="00C5288C"/>
    <w:rsid w:val="00C530F9"/>
    <w:rsid w:val="00CC352F"/>
    <w:rsid w:val="00CE4CA0"/>
    <w:rsid w:val="00D06F04"/>
    <w:rsid w:val="00D11D6C"/>
    <w:rsid w:val="00D217CA"/>
    <w:rsid w:val="00D315E5"/>
    <w:rsid w:val="00D509BF"/>
    <w:rsid w:val="00D520D0"/>
    <w:rsid w:val="00D618C2"/>
    <w:rsid w:val="00D81209"/>
    <w:rsid w:val="00D83D5F"/>
    <w:rsid w:val="00D9193F"/>
    <w:rsid w:val="00DC4482"/>
    <w:rsid w:val="00DC479F"/>
    <w:rsid w:val="00DE36B2"/>
    <w:rsid w:val="00E03675"/>
    <w:rsid w:val="00E11F45"/>
    <w:rsid w:val="00E307C3"/>
    <w:rsid w:val="00E35A0D"/>
    <w:rsid w:val="00E44089"/>
    <w:rsid w:val="00E4413E"/>
    <w:rsid w:val="00E47CB3"/>
    <w:rsid w:val="00E61CA4"/>
    <w:rsid w:val="00E63298"/>
    <w:rsid w:val="00E651B8"/>
    <w:rsid w:val="00E674F1"/>
    <w:rsid w:val="00E7620B"/>
    <w:rsid w:val="00E95AD7"/>
    <w:rsid w:val="00ED2527"/>
    <w:rsid w:val="00EE1B70"/>
    <w:rsid w:val="00EE43A4"/>
    <w:rsid w:val="00F04C43"/>
    <w:rsid w:val="00F1795E"/>
    <w:rsid w:val="00F266BA"/>
    <w:rsid w:val="00F30823"/>
    <w:rsid w:val="00F40322"/>
    <w:rsid w:val="00F43FB0"/>
    <w:rsid w:val="00F470E3"/>
    <w:rsid w:val="00F47D01"/>
    <w:rsid w:val="00F64489"/>
    <w:rsid w:val="00F65929"/>
    <w:rsid w:val="00F667E6"/>
    <w:rsid w:val="00F721DC"/>
    <w:rsid w:val="00F9369E"/>
    <w:rsid w:val="00F94128"/>
    <w:rsid w:val="00FA1128"/>
    <w:rsid w:val="00FB5D60"/>
    <w:rsid w:val="00FC54E0"/>
    <w:rsid w:val="00FC5E55"/>
    <w:rsid w:val="00FD2F3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6DBC7BF-5CC1-4EFC-9CE8-AD091E42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paragraph" w:customStyle="1" w:styleId="Default">
    <w:name w:val="Default"/>
    <w:rsid w:val="00E307C3"/>
    <w:pPr>
      <w:autoSpaceDE w:val="0"/>
      <w:autoSpaceDN w:val="0"/>
      <w:adjustRightInd w:val="0"/>
    </w:pPr>
    <w:rPr>
      <w:rFonts w:ascii="Swis721 BT" w:eastAsia="Calibri"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99F152-DC29-43AF-B7E4-E188F0B904C3}"/>
</file>

<file path=customXml/itemProps2.xml><?xml version="1.0" encoding="utf-8"?>
<ds:datastoreItem xmlns:ds="http://schemas.openxmlformats.org/officeDocument/2006/customXml" ds:itemID="{A256F7A4-ABE0-4193-83FE-88D317AE424A}"/>
</file>

<file path=customXml/itemProps3.xml><?xml version="1.0" encoding="utf-8"?>
<ds:datastoreItem xmlns:ds="http://schemas.openxmlformats.org/officeDocument/2006/customXml" ds:itemID="{0584958A-ED4D-448D-B37B-62245591CFA5}"/>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1704</Characters>
  <Application>Microsoft Office Word</Application>
  <DocSecurity>4</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5859</vt:lpstr>
      <vt:lpstr>5859</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