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85" w:rsidRDefault="00E86B85" w:rsidP="00D10FA0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7884 : résumé</w:t>
      </w:r>
    </w:p>
    <w:p w:rsidR="00D10FA0" w:rsidRPr="002F7334" w:rsidRDefault="00D10FA0" w:rsidP="00D10FA0">
      <w:p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 xml:space="preserve">Le projet de loi </w:t>
      </w:r>
      <w:r w:rsidR="00E86B85">
        <w:rPr>
          <w:rFonts w:ascii="Arial" w:hAnsi="Arial" w:cs="Arial"/>
        </w:rPr>
        <w:t xml:space="preserve">a pour objet de </w:t>
      </w:r>
      <w:r w:rsidRPr="002F7334">
        <w:rPr>
          <w:rFonts w:ascii="Arial" w:hAnsi="Arial" w:cs="Arial"/>
        </w:rPr>
        <w:t>modifi</w:t>
      </w:r>
      <w:r w:rsidR="00E86B85">
        <w:rPr>
          <w:rFonts w:ascii="Arial" w:hAnsi="Arial" w:cs="Arial"/>
        </w:rPr>
        <w:t>er</w:t>
      </w:r>
      <w:r w:rsidRPr="002F7334">
        <w:rPr>
          <w:rFonts w:ascii="Arial" w:hAnsi="Arial" w:cs="Arial"/>
        </w:rPr>
        <w:t xml:space="preserve"> la loi modifiée du 23 décembre 2016 instituant un régime d’aides pour la promotion de la durabilité, de l’utilisation rationnelle de l’énergie et des énergies renouvelables dans le domaine du logement</w:t>
      </w:r>
      <w:r w:rsidR="00E86B85">
        <w:rPr>
          <w:rFonts w:ascii="Arial" w:hAnsi="Arial" w:cs="Arial"/>
        </w:rPr>
        <w:t>.</w:t>
      </w:r>
    </w:p>
    <w:p w:rsidR="00D10FA0" w:rsidRPr="002F7334" w:rsidRDefault="00D10FA0" w:rsidP="00D10FA0">
      <w:p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 xml:space="preserve">L’augmentation de l’efficacité énergétique et le développement des énergies renouvelables sont deux piliers essentiels de la transition énergétique, ancrés dans le </w:t>
      </w:r>
      <w:r>
        <w:rPr>
          <w:rFonts w:ascii="Arial" w:hAnsi="Arial" w:cs="Arial"/>
        </w:rPr>
        <w:t>P</w:t>
      </w:r>
      <w:r w:rsidRPr="002F7334">
        <w:rPr>
          <w:rFonts w:ascii="Arial" w:hAnsi="Arial" w:cs="Arial"/>
        </w:rPr>
        <w:t xml:space="preserve">lan national intégré en matière d’énergie et de climat (PNEC). Dans le domaine </w:t>
      </w:r>
      <w:r>
        <w:rPr>
          <w:rFonts w:ascii="Arial" w:hAnsi="Arial" w:cs="Arial"/>
        </w:rPr>
        <w:t>du bâtiment</w:t>
      </w:r>
      <w:r w:rsidRPr="002F7334">
        <w:rPr>
          <w:rFonts w:ascii="Arial" w:hAnsi="Arial" w:cs="Arial"/>
        </w:rPr>
        <w:t xml:space="preserve">, le PNEC donne la priorité à l’assainissement des bâtiments existants et </w:t>
      </w:r>
      <w:r w:rsidR="00906619">
        <w:rPr>
          <w:rFonts w:ascii="Arial" w:hAnsi="Arial" w:cs="Arial"/>
        </w:rPr>
        <w:t>au</w:t>
      </w:r>
      <w:r w:rsidRPr="002F7334">
        <w:rPr>
          <w:rFonts w:ascii="Arial" w:hAnsi="Arial" w:cs="Arial"/>
        </w:rPr>
        <w:t xml:space="preserve"> recours aux énergies renouvelables. Pour accroître l’efficacité énergétique dans le domaine </w:t>
      </w:r>
      <w:r>
        <w:rPr>
          <w:rFonts w:ascii="Arial" w:hAnsi="Arial" w:cs="Arial"/>
        </w:rPr>
        <w:t>du bâtiment</w:t>
      </w:r>
      <w:r w:rsidR="00121BA8">
        <w:rPr>
          <w:rFonts w:ascii="Arial" w:hAnsi="Arial" w:cs="Arial"/>
        </w:rPr>
        <w:t xml:space="preserve"> et </w:t>
      </w:r>
      <w:r w:rsidRPr="002F7334">
        <w:rPr>
          <w:rFonts w:ascii="Arial" w:hAnsi="Arial" w:cs="Arial"/>
        </w:rPr>
        <w:t>soutenir la rénovation énergétique au niveau national, un certain nombre d’instruments de soutien financier ont été introduits, dont notamment les aides à l’investissement PRIMe House, modifié</w:t>
      </w:r>
      <w:r w:rsidR="00906619">
        <w:rPr>
          <w:rFonts w:ascii="Arial" w:hAnsi="Arial" w:cs="Arial"/>
        </w:rPr>
        <w:t>e</w:t>
      </w:r>
      <w:r w:rsidRPr="002F7334">
        <w:rPr>
          <w:rFonts w:ascii="Arial" w:hAnsi="Arial" w:cs="Arial"/>
        </w:rPr>
        <w:t>s par le présent projet de loi.</w:t>
      </w:r>
      <w:r w:rsidR="00906619">
        <w:rPr>
          <w:rFonts w:ascii="Arial" w:hAnsi="Arial" w:cs="Arial"/>
        </w:rPr>
        <w:t xml:space="preserve"> </w:t>
      </w:r>
      <w:r w:rsidRPr="002F7334">
        <w:rPr>
          <w:rFonts w:ascii="Arial" w:hAnsi="Arial" w:cs="Arial"/>
        </w:rPr>
        <w:t>Les principales modifications prévues par le projet de loi sont les suivantes :</w:t>
      </w:r>
    </w:p>
    <w:p w:rsidR="00D10FA0" w:rsidRPr="002F7334" w:rsidRDefault="00D10FA0" w:rsidP="00D10FA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Prolongation du régime : le régime d’aide financière est prolongé de 5 années supplémentaires. Les délais suivants sont dorénavant prévus :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 xml:space="preserve">La facture pour les investissements et services </w:t>
      </w:r>
      <w:r>
        <w:rPr>
          <w:rFonts w:ascii="Arial" w:hAnsi="Arial" w:cs="Arial"/>
        </w:rPr>
        <w:t>d</w:t>
      </w:r>
      <w:r w:rsidRPr="002F7334">
        <w:rPr>
          <w:rFonts w:ascii="Arial" w:hAnsi="Arial" w:cs="Arial"/>
        </w:rPr>
        <w:t>oit être établie au plus tard le 31 décembre 2029</w:t>
      </w:r>
      <w:r>
        <w:rPr>
          <w:rFonts w:ascii="Arial" w:hAnsi="Arial" w:cs="Arial"/>
        </w:rPr>
        <w:t> ;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La demande d’aide financière doit être introduite au plus tard le 31 décembre 2031</w:t>
      </w:r>
      <w:r>
        <w:rPr>
          <w:rFonts w:ascii="Arial" w:hAnsi="Arial" w:cs="Arial"/>
        </w:rPr>
        <w:t>.</w:t>
      </w:r>
      <w:r w:rsidRPr="002F7334">
        <w:rPr>
          <w:rFonts w:ascii="Arial" w:hAnsi="Arial" w:cs="Arial"/>
        </w:rPr>
        <w:t xml:space="preserve"> </w:t>
      </w:r>
    </w:p>
    <w:p w:rsidR="00D10FA0" w:rsidRPr="002F7334" w:rsidRDefault="00D10FA0" w:rsidP="00D10FA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Simplification de</w:t>
      </w:r>
      <w:r>
        <w:rPr>
          <w:rFonts w:ascii="Arial" w:hAnsi="Arial" w:cs="Arial"/>
        </w:rPr>
        <w:t>s</w:t>
      </w:r>
      <w:r w:rsidRPr="002F7334">
        <w:rPr>
          <w:rFonts w:ascii="Arial" w:hAnsi="Arial" w:cs="Arial"/>
        </w:rPr>
        <w:t xml:space="preserve"> procédures : sous certaines conditions, le conseil en énergie exhaustif sera dorénavant facultatif pour les projets de rénovation énergétique qui se limitent à un seul élément de construction de l’enveloppe thermique</w:t>
      </w:r>
    </w:p>
    <w:p w:rsidR="00D10FA0" w:rsidRPr="002F7334" w:rsidRDefault="00D10FA0" w:rsidP="00D10FA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Extension et renforcement du régime prévu pour les installations techniques valorisant les sources d’énergie renouvelables :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Les pompes à chaleur hybrides et les installations hybrides avec pompe à chaleur deviennent éligibles pour une aide financière</w:t>
      </w:r>
      <w:r>
        <w:rPr>
          <w:rFonts w:ascii="Arial" w:hAnsi="Arial" w:cs="Arial"/>
        </w:rPr>
        <w:t> ;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Les filtres à particules installés sur les chaudières à bois existantes deviennent éligibles pour une aide financière</w:t>
      </w:r>
      <w:r>
        <w:rPr>
          <w:rFonts w:ascii="Arial" w:hAnsi="Arial" w:cs="Arial"/>
        </w:rPr>
        <w:t> ;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 plafond des </w:t>
      </w:r>
      <w:r w:rsidRPr="002F7334">
        <w:rPr>
          <w:rFonts w:ascii="Arial" w:hAnsi="Arial" w:cs="Arial"/>
        </w:rPr>
        <w:t>aide</w:t>
      </w:r>
      <w:r>
        <w:rPr>
          <w:rFonts w:ascii="Arial" w:hAnsi="Arial" w:cs="Arial"/>
        </w:rPr>
        <w:t>s</w:t>
      </w:r>
      <w:r w:rsidRPr="002F7334">
        <w:rPr>
          <w:rFonts w:ascii="Arial" w:hAnsi="Arial" w:cs="Arial"/>
        </w:rPr>
        <w:t xml:space="preserve"> financière</w:t>
      </w:r>
      <w:r>
        <w:rPr>
          <w:rFonts w:ascii="Arial" w:hAnsi="Arial" w:cs="Arial"/>
        </w:rPr>
        <w:t>s</w:t>
      </w:r>
      <w:r w:rsidRPr="002F7334">
        <w:rPr>
          <w:rFonts w:ascii="Arial" w:hAnsi="Arial" w:cs="Arial"/>
        </w:rPr>
        <w:t xml:space="preserve"> pour une installation photovoltaïque est </w:t>
      </w:r>
      <w:r>
        <w:rPr>
          <w:rFonts w:ascii="Arial" w:hAnsi="Arial" w:cs="Arial"/>
        </w:rPr>
        <w:t>augmenté de 20 à</w:t>
      </w:r>
      <w:r w:rsidRPr="002F7334">
        <w:rPr>
          <w:rFonts w:ascii="Arial" w:hAnsi="Arial" w:cs="Arial"/>
        </w:rPr>
        <w:t xml:space="preserve"> 50% des coûts effectifs</w:t>
      </w:r>
      <w:r>
        <w:rPr>
          <w:rFonts w:ascii="Arial" w:hAnsi="Arial" w:cs="Arial"/>
        </w:rPr>
        <w:t>, ceci à cause des nouvelles modalités de soutien visant à favoriser l’autoconsommation ;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Un bonus de 30% est introduit pour le remplacement d’une chaudière alimentée au combustible fossile existante par un raccordement à un réseau de chaleur</w:t>
      </w:r>
      <w:r>
        <w:rPr>
          <w:rFonts w:ascii="Arial" w:hAnsi="Arial" w:cs="Arial"/>
        </w:rPr>
        <w:t> ;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Il est introduit une aide spécifique supplémentaire de 50% des coûts effectifs pour l’enlèvement, la neutralisation et le recyclage du réservoir au fioul dans le cas d’un remplacement d’une chaudière au fioul</w:t>
      </w:r>
      <w:r>
        <w:rPr>
          <w:rFonts w:ascii="Arial" w:hAnsi="Arial" w:cs="Arial"/>
        </w:rPr>
        <w:t> ;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Il est introduit un bonus de 1</w:t>
      </w:r>
      <w:r>
        <w:rPr>
          <w:rFonts w:ascii="Arial" w:hAnsi="Arial" w:cs="Arial"/>
        </w:rPr>
        <w:t>.</w:t>
      </w:r>
      <w:r w:rsidRPr="002F7334">
        <w:rPr>
          <w:rFonts w:ascii="Arial" w:hAnsi="Arial" w:cs="Arial"/>
        </w:rPr>
        <w:t>000 euros lorsque la mise en place d’une installation solaire thermique se fait conjointement avec la mise en place d’une chaudière à bois ou d’une pompe à chaleur</w:t>
      </w:r>
      <w:r>
        <w:rPr>
          <w:rFonts w:ascii="Arial" w:hAnsi="Arial" w:cs="Arial"/>
        </w:rPr>
        <w:t> ;</w:t>
      </w:r>
    </w:p>
    <w:p w:rsidR="00D10FA0" w:rsidRPr="002F7334" w:rsidRDefault="00D10FA0" w:rsidP="00D10FA0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t>L’aide financière pour le raccordement d’un bâtiment d’habitation à un réseau de chaleur est augmentée</w:t>
      </w:r>
      <w:r>
        <w:rPr>
          <w:rFonts w:ascii="Arial" w:hAnsi="Arial" w:cs="Arial"/>
        </w:rPr>
        <w:t xml:space="preserve"> et sera </w:t>
      </w:r>
      <w:r w:rsidRPr="002F733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ésormais </w:t>
      </w:r>
      <w:r w:rsidRPr="002F7334">
        <w:rPr>
          <w:rFonts w:ascii="Arial" w:hAnsi="Arial" w:cs="Arial"/>
        </w:rPr>
        <w:t>plafonné</w:t>
      </w:r>
      <w:r>
        <w:rPr>
          <w:rFonts w:ascii="Arial" w:hAnsi="Arial" w:cs="Arial"/>
        </w:rPr>
        <w:t>e</w:t>
      </w:r>
      <w:r w:rsidRPr="002F7334">
        <w:rPr>
          <w:rFonts w:ascii="Arial" w:hAnsi="Arial" w:cs="Arial"/>
        </w:rPr>
        <w:t xml:space="preserve"> à 250 euros par kilowatt</w:t>
      </w:r>
      <w:r>
        <w:rPr>
          <w:rFonts w:ascii="Arial" w:hAnsi="Arial" w:cs="Arial"/>
        </w:rPr>
        <w:t>.</w:t>
      </w:r>
      <w:r w:rsidRPr="002F7334">
        <w:rPr>
          <w:rFonts w:ascii="Arial" w:hAnsi="Arial" w:cs="Arial"/>
        </w:rPr>
        <w:t xml:space="preserve">  </w:t>
      </w:r>
    </w:p>
    <w:p w:rsidR="00D10FA0" w:rsidRPr="002F7334" w:rsidRDefault="00D10FA0" w:rsidP="00D10FA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F7334">
        <w:rPr>
          <w:rFonts w:ascii="Arial" w:hAnsi="Arial" w:cs="Arial"/>
        </w:rPr>
        <w:lastRenderedPageBreak/>
        <w:t xml:space="preserve">Les montants de l’aide financière forfaitaire pour le conseil en énergie sont </w:t>
      </w:r>
      <w:r>
        <w:rPr>
          <w:rFonts w:ascii="Arial" w:hAnsi="Arial" w:cs="Arial"/>
        </w:rPr>
        <w:t xml:space="preserve">augmentés </w:t>
      </w:r>
      <w:r w:rsidRPr="002F7334">
        <w:rPr>
          <w:rFonts w:ascii="Arial" w:hAnsi="Arial" w:cs="Arial"/>
        </w:rPr>
        <w:t xml:space="preserve">de 50% voire plus par rapport au régime précédent, rejoignant donc les montants appliqués dans le cadre du programme « Neistart Lëtzebuerg ». </w:t>
      </w:r>
    </w:p>
    <w:p w:rsidR="008B3220" w:rsidRDefault="008B3220"/>
    <w:sectPr w:rsidR="008B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F03BF"/>
    <w:multiLevelType w:val="hybridMultilevel"/>
    <w:tmpl w:val="042EB976"/>
    <w:lvl w:ilvl="0" w:tplc="0232A6E4">
      <w:numFmt w:val="bullet"/>
      <w:lvlText w:val="-"/>
      <w:lvlJc w:val="left"/>
      <w:rPr>
        <w:rFonts w:ascii="Calibri" w:eastAsia="Calibri" w:hAnsi="Calibri" w:cs="Calibri" w:hint="default"/>
      </w:rPr>
    </w:lvl>
    <w:lvl w:ilvl="1" w:tplc="1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FA0"/>
    <w:rsid w:val="00121BA8"/>
    <w:rsid w:val="0041592E"/>
    <w:rsid w:val="007E0D67"/>
    <w:rsid w:val="008B3220"/>
    <w:rsid w:val="00906619"/>
    <w:rsid w:val="009A7777"/>
    <w:rsid w:val="00D10FA0"/>
    <w:rsid w:val="00E13E2B"/>
    <w:rsid w:val="00E7161D"/>
    <w:rsid w:val="00E8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9CABD5-8D44-4C77-9716-F1DFDF2F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D10F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0F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D10FA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DP7884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7884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/sftpecos/Dossiers_parlementaires/7884/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E24A491-D79F-4244-9F49-5E22953C84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231B7-5F9E-418E-A8C0-35C4CFA3706A}"/>
</file>

<file path=customXml/itemProps3.xml><?xml version="1.0" encoding="utf-8"?>
<ds:datastoreItem xmlns:ds="http://schemas.openxmlformats.org/officeDocument/2006/customXml" ds:itemID="{4EABBC8A-5D10-46B4-8E59-AC58DA2EE86D}"/>
</file>

<file path=customXml/itemProps4.xml><?xml version="1.0" encoding="utf-8"?>
<ds:datastoreItem xmlns:ds="http://schemas.openxmlformats.org/officeDocument/2006/customXml" ds:itemID="{FEB56448-41E2-4AB8-B1D1-3586B0F9C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2022-03-23T14:02:00Z</cp:lastPrinted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