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bookmarkStart w:id="0" w:name="_GoBack"/>
      <w:bookmarkEnd w:id="0"/>
      <w:r w:rsidRPr="00461F0D">
        <w:rPr>
          <w:rFonts w:ascii="Arial" w:hAnsi="Arial" w:cs="Arial"/>
          <w:b/>
        </w:rPr>
        <w:tab/>
      </w:r>
      <w:r w:rsidR="00DC4482">
        <w:rPr>
          <w:rFonts w:ascii="Arial" w:hAnsi="Arial" w:cs="Arial"/>
          <w:b/>
        </w:rPr>
        <w:t>7</w:t>
      </w:r>
      <w:r w:rsidR="00E941F7">
        <w:rPr>
          <w:rFonts w:ascii="Arial" w:hAnsi="Arial" w:cs="Arial"/>
          <w:b/>
        </w:rPr>
        <w:t>852</w:t>
      </w:r>
      <w:r w:rsidRPr="00A94031">
        <w:rPr>
          <w:rFonts w:ascii="Arial" w:hAnsi="Arial" w:cs="Arial"/>
          <w:b/>
        </w:rPr>
        <w:tab/>
      </w:r>
    </w:p>
    <w:p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593EEF" w:rsidRDefault="00593EEF" w:rsidP="00593EEF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</w:rPr>
      </w:pPr>
      <w:r w:rsidRPr="00593EEF">
        <w:rPr>
          <w:rFonts w:ascii="Arial" w:hAnsi="Arial" w:cs="Arial"/>
          <w:b/>
        </w:rPr>
        <w:t>PROJET DE LOI</w:t>
      </w:r>
    </w:p>
    <w:p w:rsidR="00593EEF" w:rsidRPr="00593EEF" w:rsidRDefault="00593EEF" w:rsidP="00593EEF">
      <w:pPr>
        <w:rPr>
          <w:rFonts w:cs="Arial"/>
          <w:b/>
        </w:rPr>
      </w:pPr>
    </w:p>
    <w:p w:rsidR="00E941F7" w:rsidRPr="00EA00AD" w:rsidRDefault="00E941F7" w:rsidP="00E941F7">
      <w:pPr>
        <w:ind w:left="70"/>
        <w:jc w:val="center"/>
        <w:rPr>
          <w:rFonts w:ascii="Arial" w:hAnsi="Arial" w:cs="Arial"/>
          <w:b/>
          <w:bCs/>
        </w:rPr>
      </w:pPr>
      <w:r w:rsidRPr="00EA00AD">
        <w:rPr>
          <w:rFonts w:ascii="Arial" w:eastAsia="Arial" w:hAnsi="Arial" w:cs="Arial"/>
          <w:b/>
          <w:bCs/>
        </w:rPr>
        <w:t>autorisa</w:t>
      </w:r>
      <w:r>
        <w:rPr>
          <w:rFonts w:ascii="Arial" w:eastAsia="Arial" w:hAnsi="Arial" w:cs="Arial"/>
          <w:b/>
          <w:bCs/>
        </w:rPr>
        <w:t>n</w:t>
      </w:r>
      <w:r w:rsidRPr="00EA00AD"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</w:rPr>
        <w:t xml:space="preserve">le Gouvernement à financer l’acquisition et le support logistique de véhicules de commandement, de liaison et de reconnaissance (CLRV) pour les besoins de l’Armée luxembourgeoise </w:t>
      </w:r>
    </w:p>
    <w:p w:rsidR="000D2650" w:rsidRDefault="000D2650" w:rsidP="00C619B4">
      <w:pPr>
        <w:jc w:val="center"/>
        <w:rPr>
          <w:rFonts w:ascii="Arial" w:hAnsi="Arial" w:cs="Arial"/>
          <w:b/>
        </w:rPr>
      </w:pPr>
    </w:p>
    <w:p w:rsidR="000D2650" w:rsidRDefault="000D2650" w:rsidP="00C619B4">
      <w:pPr>
        <w:jc w:val="center"/>
        <w:rPr>
          <w:rFonts w:ascii="Arial" w:hAnsi="Arial" w:cs="Arial"/>
          <w:b/>
        </w:rPr>
      </w:pPr>
    </w:p>
    <w:p w:rsidR="004A5EAC" w:rsidRPr="004A5EAC" w:rsidRDefault="00032D4F" w:rsidP="00621991">
      <w:pPr>
        <w:jc w:val="both"/>
        <w:rPr>
          <w:rFonts w:ascii="Arial" w:hAnsi="Arial"/>
          <w:sz w:val="22"/>
          <w:szCs w:val="22"/>
          <w:lang w:val="fr-LU" w:eastAsia="fr-LU"/>
        </w:rPr>
      </w:pPr>
      <w:r w:rsidRPr="00032D4F">
        <w:rPr>
          <w:rFonts w:ascii="Arial" w:eastAsia="Arial" w:hAnsi="Arial" w:cs="Arial"/>
          <w:sz w:val="22"/>
          <w:szCs w:val="20"/>
          <w:lang w:val="fr-LU" w:eastAsia="fr-LU"/>
        </w:rPr>
        <w:t>L</w:t>
      </w:r>
      <w:r>
        <w:rPr>
          <w:rFonts w:ascii="Arial" w:eastAsia="Arial" w:hAnsi="Arial" w:cs="Arial"/>
          <w:sz w:val="22"/>
          <w:szCs w:val="20"/>
          <w:lang w:val="fr-LU" w:eastAsia="fr-LU"/>
        </w:rPr>
        <w:t xml:space="preserve">e </w:t>
      </w:r>
      <w:r w:rsidRPr="00032D4F">
        <w:rPr>
          <w:rFonts w:ascii="Arial" w:eastAsia="Arial" w:hAnsi="Arial" w:cs="Arial"/>
          <w:sz w:val="22"/>
          <w:szCs w:val="20"/>
          <w:lang w:val="fr-LU" w:eastAsia="fr-LU"/>
        </w:rPr>
        <w:t>projet de loi a pour objet d’autoriser le Gouvernement à financer l’acquisition et le support logistique de véhicules de commandement, de liaison et de reconnaissance (CLRV). Les nouveaux véhicules devront remplacer les « Hummer » et les PRV</w:t>
      </w:r>
      <w:r w:rsidRPr="00032D4F">
        <w:rPr>
          <w:rFonts w:ascii="Arial" w:eastAsia="Arial" w:hAnsi="Arial" w:cs="Arial"/>
          <w:sz w:val="22"/>
          <w:szCs w:val="20"/>
          <w:vertAlign w:val="superscript"/>
          <w:lang w:val="fr-LU" w:eastAsia="fr-LU"/>
        </w:rPr>
        <w:footnoteReference w:id="1"/>
      </w:r>
      <w:r w:rsidRPr="00032D4F">
        <w:rPr>
          <w:rFonts w:ascii="Arial" w:eastAsia="Arial" w:hAnsi="Arial" w:cs="Arial"/>
          <w:sz w:val="22"/>
          <w:szCs w:val="20"/>
          <w:lang w:val="fr-LU" w:eastAsia="fr-LU"/>
        </w:rPr>
        <w:t xml:space="preserve"> (« dingos »)</w:t>
      </w:r>
      <w:r w:rsidR="00951833">
        <w:rPr>
          <w:rFonts w:ascii="Arial" w:eastAsia="Arial" w:hAnsi="Arial" w:cs="Arial"/>
          <w:sz w:val="22"/>
          <w:szCs w:val="20"/>
          <w:lang w:val="fr-LU" w:eastAsia="fr-LU"/>
        </w:rPr>
        <w:t xml:space="preserve">. </w:t>
      </w:r>
      <w:r w:rsidR="004A5EAC">
        <w:rPr>
          <w:rFonts w:ascii="Arial" w:eastAsia="Arial" w:hAnsi="Arial" w:cs="Arial"/>
          <w:sz w:val="22"/>
          <w:szCs w:val="20"/>
          <w:lang w:val="fr-LU" w:eastAsia="fr-LU"/>
        </w:rPr>
        <w:t>L</w:t>
      </w:r>
      <w:r w:rsidR="004A5EAC" w:rsidRPr="004A5EAC">
        <w:rPr>
          <w:rFonts w:ascii="Arial" w:hAnsi="Arial"/>
          <w:sz w:val="22"/>
          <w:szCs w:val="22"/>
          <w:lang w:val="fr-LU" w:eastAsia="fr-LU"/>
        </w:rPr>
        <w:t>’Armée</w:t>
      </w:r>
      <w:r w:rsidR="004A5EAC">
        <w:rPr>
          <w:rFonts w:ascii="Arial" w:hAnsi="Arial"/>
          <w:sz w:val="22"/>
          <w:szCs w:val="22"/>
          <w:lang w:val="fr-LU" w:eastAsia="fr-LU"/>
        </w:rPr>
        <w:t xml:space="preserve"> luxembourgeoise</w:t>
      </w:r>
      <w:r w:rsidR="004A5EAC" w:rsidRPr="004A5EAC">
        <w:rPr>
          <w:rFonts w:ascii="Arial" w:hAnsi="Arial"/>
          <w:sz w:val="22"/>
          <w:szCs w:val="22"/>
          <w:lang w:val="fr-LU" w:eastAsia="fr-LU"/>
        </w:rPr>
        <w:t xml:space="preserve"> dispose de deux types de véhicules</w:t>
      </w:r>
      <w:r w:rsidR="00621991">
        <w:rPr>
          <w:rFonts w:ascii="Arial" w:hAnsi="Arial"/>
          <w:sz w:val="22"/>
          <w:szCs w:val="22"/>
          <w:lang w:val="fr-LU" w:eastAsia="fr-LU"/>
        </w:rPr>
        <w:t xml:space="preserve"> tactiques</w:t>
      </w:r>
      <w:r w:rsidR="004A5EAC" w:rsidRPr="004A5EAC">
        <w:rPr>
          <w:rFonts w:ascii="Arial" w:hAnsi="Arial"/>
          <w:sz w:val="22"/>
          <w:szCs w:val="22"/>
          <w:lang w:val="fr-LU" w:eastAsia="fr-LU"/>
        </w:rPr>
        <w:t>. Le plus ancien est le HMMWV UA</w:t>
      </w:r>
      <w:r w:rsidR="004A5EAC" w:rsidRPr="004A5EAC">
        <w:rPr>
          <w:rFonts w:ascii="Arial" w:hAnsi="Arial"/>
          <w:sz w:val="22"/>
          <w:szCs w:val="22"/>
          <w:vertAlign w:val="superscript"/>
          <w:lang w:val="fr-LU" w:eastAsia="fr-LU"/>
        </w:rPr>
        <w:footnoteReference w:id="2"/>
      </w:r>
      <w:r w:rsidR="004A5EAC" w:rsidRPr="004A5EAC">
        <w:rPr>
          <w:rFonts w:ascii="Arial" w:hAnsi="Arial"/>
          <w:sz w:val="22"/>
          <w:szCs w:val="22"/>
          <w:lang w:val="fr-LU" w:eastAsia="fr-LU"/>
        </w:rPr>
        <w:t xml:space="preserve"> (Hummer), en service à l’Armée depuis 1996</w:t>
      </w:r>
      <w:r w:rsidR="00621991">
        <w:rPr>
          <w:rFonts w:ascii="Arial" w:hAnsi="Arial"/>
          <w:sz w:val="22"/>
          <w:szCs w:val="22"/>
          <w:lang w:val="fr-LU" w:eastAsia="fr-LU"/>
        </w:rPr>
        <w:t>.</w:t>
      </w:r>
      <w:r w:rsidR="004A5EAC" w:rsidRPr="004A5EAC">
        <w:rPr>
          <w:rFonts w:ascii="Arial" w:hAnsi="Arial"/>
          <w:sz w:val="22"/>
          <w:szCs w:val="22"/>
          <w:lang w:val="fr-LU" w:eastAsia="fr-LU"/>
        </w:rPr>
        <w:t xml:space="preserve"> Les trois éléments à considérer pour un véhicule tactique sont la plateforme, le système radios et l’équipement d’armement. L’état de vétusté de ces trois éléments du Hummer est tel qu’une actualisation n’est plus possible ; en particulier, l’absence totale de protection du tireur en tourelle ne correspond nullement aux standards actuels. Le second type est le PRV</w:t>
      </w:r>
      <w:r w:rsidR="004A5EAC" w:rsidRPr="004A5EAC">
        <w:rPr>
          <w:rFonts w:ascii="Arial" w:hAnsi="Arial"/>
          <w:sz w:val="22"/>
          <w:szCs w:val="22"/>
          <w:vertAlign w:val="superscript"/>
          <w:lang w:val="fr-LU" w:eastAsia="fr-LU"/>
        </w:rPr>
        <w:footnoteReference w:id="3"/>
      </w:r>
      <w:r w:rsidR="004A5EAC" w:rsidRPr="004A5EAC">
        <w:rPr>
          <w:rFonts w:ascii="Arial" w:hAnsi="Arial"/>
          <w:sz w:val="22"/>
          <w:szCs w:val="22"/>
          <w:lang w:val="fr-LU" w:eastAsia="fr-LU"/>
        </w:rPr>
        <w:t xml:space="preserve"> (DINGO), en service à l’Armée depuis 2010 et actuellement utilisé en mission au Mali. Au moment du remplacement </w:t>
      </w:r>
      <w:r w:rsidR="00621991">
        <w:rPr>
          <w:rFonts w:ascii="Arial" w:hAnsi="Arial"/>
          <w:sz w:val="22"/>
          <w:szCs w:val="22"/>
          <w:lang w:val="fr-LU" w:eastAsia="fr-LU"/>
        </w:rPr>
        <w:t xml:space="preserve">prévu </w:t>
      </w:r>
      <w:r w:rsidR="004A5EAC" w:rsidRPr="004A5EAC">
        <w:rPr>
          <w:rFonts w:ascii="Arial" w:hAnsi="Arial"/>
          <w:sz w:val="22"/>
          <w:szCs w:val="22"/>
          <w:lang w:val="fr-LU" w:eastAsia="fr-LU"/>
        </w:rPr>
        <w:t>en 2025, le PRV aura 15 ans de service. Si la plateforme est encore en parfait état de marche, une étude effectuée en 2018 a révélé qu’une mise à niveau du système radios/jammer</w:t>
      </w:r>
      <w:r w:rsidR="004A5EAC" w:rsidRPr="004A5EAC">
        <w:rPr>
          <w:rFonts w:ascii="Arial" w:hAnsi="Arial"/>
          <w:sz w:val="22"/>
          <w:szCs w:val="22"/>
          <w:vertAlign w:val="superscript"/>
          <w:lang w:val="fr-LU" w:eastAsia="fr-LU"/>
        </w:rPr>
        <w:footnoteReference w:id="4"/>
      </w:r>
      <w:r w:rsidR="004A5EAC" w:rsidRPr="004A5EAC">
        <w:rPr>
          <w:rFonts w:ascii="Arial" w:hAnsi="Arial"/>
          <w:sz w:val="22"/>
          <w:szCs w:val="22"/>
          <w:lang w:val="fr-LU" w:eastAsia="fr-LU"/>
        </w:rPr>
        <w:t xml:space="preserve">/électronique et du système d’armement aurait dépassé les coûts d’un remplacement total du véhicule. </w:t>
      </w:r>
    </w:p>
    <w:p w:rsidR="004A5EAC" w:rsidRPr="004A5EAC" w:rsidRDefault="004A5EAC" w:rsidP="004A5EAC">
      <w:pPr>
        <w:ind w:left="70"/>
        <w:jc w:val="both"/>
        <w:rPr>
          <w:rFonts w:ascii="Arial" w:hAnsi="Arial"/>
          <w:sz w:val="22"/>
          <w:szCs w:val="22"/>
          <w:lang w:val="fr-LU" w:eastAsia="fr-LU"/>
        </w:rPr>
      </w:pPr>
    </w:p>
    <w:p w:rsidR="00032D4F" w:rsidRPr="00032D4F" w:rsidRDefault="00951833" w:rsidP="00032D4F">
      <w:pPr>
        <w:jc w:val="both"/>
        <w:rPr>
          <w:rFonts w:ascii="Arial" w:eastAsia="Arial" w:hAnsi="Arial" w:cs="Arial"/>
          <w:sz w:val="22"/>
          <w:szCs w:val="20"/>
          <w:lang w:val="fr-LU" w:eastAsia="fr-LU"/>
        </w:rPr>
      </w:pPr>
      <w:r>
        <w:rPr>
          <w:rFonts w:ascii="Arial" w:eastAsia="Arial" w:hAnsi="Arial" w:cs="Arial"/>
          <w:sz w:val="22"/>
          <w:szCs w:val="20"/>
          <w:lang w:val="fr-LU" w:eastAsia="fr-LU"/>
        </w:rPr>
        <w:t>Le</w:t>
      </w:r>
      <w:r w:rsidR="00032D4F" w:rsidRPr="00032D4F">
        <w:rPr>
          <w:rFonts w:ascii="Arial" w:eastAsia="Arial" w:hAnsi="Arial" w:cs="Arial"/>
          <w:sz w:val="22"/>
          <w:szCs w:val="20"/>
          <w:lang w:val="fr-LU" w:eastAsia="fr-LU"/>
        </w:rPr>
        <w:t xml:space="preserve"> coût total </w:t>
      </w:r>
      <w:r>
        <w:rPr>
          <w:rFonts w:ascii="Arial" w:eastAsia="Arial" w:hAnsi="Arial" w:cs="Arial"/>
          <w:sz w:val="22"/>
          <w:szCs w:val="20"/>
          <w:lang w:val="fr-LU" w:eastAsia="fr-LU"/>
        </w:rPr>
        <w:t>s’élève à</w:t>
      </w:r>
      <w:r w:rsidR="00032D4F" w:rsidRPr="00032D4F">
        <w:rPr>
          <w:rFonts w:ascii="Arial" w:eastAsia="Arial" w:hAnsi="Arial" w:cs="Arial"/>
          <w:sz w:val="22"/>
          <w:szCs w:val="20"/>
          <w:lang w:val="fr-LU" w:eastAsia="fr-LU"/>
        </w:rPr>
        <w:t xml:space="preserve"> 367 mio. €</w:t>
      </w:r>
      <w:r w:rsidR="00032D4F" w:rsidRPr="00032D4F">
        <w:rPr>
          <w:rFonts w:ascii="Arial" w:hAnsi="Arial"/>
          <w:sz w:val="22"/>
          <w:szCs w:val="22"/>
          <w:lang w:val="fr-LU" w:eastAsia="fr-LU"/>
        </w:rPr>
        <w:t xml:space="preserve"> </w:t>
      </w:r>
      <w:r>
        <w:rPr>
          <w:rFonts w:ascii="Arial" w:hAnsi="Arial"/>
          <w:sz w:val="22"/>
          <w:szCs w:val="22"/>
          <w:lang w:val="fr-LU" w:eastAsia="fr-LU"/>
        </w:rPr>
        <w:t xml:space="preserve">et </w:t>
      </w:r>
      <w:r w:rsidR="00032D4F">
        <w:rPr>
          <w:rFonts w:ascii="Arial" w:hAnsi="Arial"/>
          <w:sz w:val="22"/>
          <w:szCs w:val="22"/>
          <w:lang w:val="fr-LU" w:eastAsia="fr-LU"/>
        </w:rPr>
        <w:t>inclut les mises à niveau des sous-systèmes</w:t>
      </w:r>
      <w:r w:rsidR="00F312BA">
        <w:rPr>
          <w:rFonts w:ascii="Arial" w:hAnsi="Arial"/>
          <w:sz w:val="22"/>
          <w:szCs w:val="22"/>
          <w:lang w:val="fr-LU" w:eastAsia="fr-LU"/>
        </w:rPr>
        <w:t xml:space="preserve"> de </w:t>
      </w:r>
      <w:r>
        <w:rPr>
          <w:rFonts w:ascii="Arial" w:hAnsi="Arial"/>
          <w:sz w:val="22"/>
          <w:szCs w:val="22"/>
          <w:lang w:val="fr-LU" w:eastAsia="fr-LU"/>
        </w:rPr>
        <w:t>co</w:t>
      </w:r>
      <w:r w:rsidR="00F312BA">
        <w:rPr>
          <w:rFonts w:ascii="Arial" w:hAnsi="Arial"/>
          <w:sz w:val="22"/>
          <w:szCs w:val="22"/>
          <w:lang w:val="fr-LU" w:eastAsia="fr-LU"/>
        </w:rPr>
        <w:t>mmunication et d’arme</w:t>
      </w:r>
      <w:r w:rsidR="00042899">
        <w:rPr>
          <w:rFonts w:ascii="Arial" w:hAnsi="Arial"/>
          <w:sz w:val="22"/>
          <w:szCs w:val="22"/>
          <w:lang w:val="fr-LU" w:eastAsia="fr-LU"/>
        </w:rPr>
        <w:t>s</w:t>
      </w:r>
      <w:r w:rsidR="00032D4F">
        <w:rPr>
          <w:rFonts w:ascii="Arial" w:hAnsi="Arial"/>
          <w:sz w:val="22"/>
          <w:szCs w:val="22"/>
          <w:lang w:val="fr-LU" w:eastAsia="fr-LU"/>
        </w:rPr>
        <w:t xml:space="preserve">, permettant ainsi une durée de vie des véhicules de 15 à 20 ans. </w:t>
      </w:r>
      <w:r w:rsidR="00032D4F" w:rsidRPr="00032D4F">
        <w:rPr>
          <w:rFonts w:ascii="Arial" w:eastAsia="Arial" w:hAnsi="Arial" w:cs="Arial"/>
          <w:sz w:val="22"/>
          <w:szCs w:val="20"/>
          <w:lang w:val="fr-LU" w:eastAsia="fr-LU"/>
        </w:rPr>
        <w:t>La dépense est faite aussi dans l’objectif de la contribution à l’effort de défense OTAN de 0,72% du PIB</w:t>
      </w:r>
      <w:r w:rsidR="00032D4F" w:rsidRPr="00032D4F">
        <w:rPr>
          <w:rFonts w:ascii="Arial" w:eastAsia="Arial" w:hAnsi="Arial" w:cs="Arial"/>
          <w:sz w:val="22"/>
          <w:szCs w:val="20"/>
          <w:vertAlign w:val="superscript"/>
          <w:lang w:val="fr-LU" w:eastAsia="fr-LU"/>
        </w:rPr>
        <w:footnoteReference w:id="5"/>
      </w:r>
      <w:r w:rsidR="00032D4F" w:rsidRPr="00032D4F">
        <w:rPr>
          <w:rFonts w:ascii="Arial" w:eastAsia="Arial" w:hAnsi="Arial" w:cs="Arial"/>
          <w:sz w:val="22"/>
          <w:szCs w:val="20"/>
          <w:lang w:val="fr-LU" w:eastAsia="fr-LU"/>
        </w:rPr>
        <w:t xml:space="preserve"> en 2024. Le projet est réalisé en collaboration avec la NSPA</w:t>
      </w:r>
      <w:r w:rsidR="00032D4F" w:rsidRPr="00032D4F">
        <w:rPr>
          <w:rFonts w:ascii="Arial" w:eastAsia="Arial" w:hAnsi="Arial" w:cs="Arial"/>
          <w:sz w:val="22"/>
          <w:szCs w:val="20"/>
          <w:vertAlign w:val="superscript"/>
          <w:lang w:val="fr-LU" w:eastAsia="fr-LU"/>
        </w:rPr>
        <w:footnoteReference w:id="6"/>
      </w:r>
      <w:r w:rsidR="00032D4F" w:rsidRPr="00032D4F">
        <w:rPr>
          <w:rFonts w:ascii="Arial" w:eastAsia="Arial" w:hAnsi="Arial" w:cs="Arial"/>
          <w:sz w:val="22"/>
          <w:szCs w:val="20"/>
          <w:lang w:val="fr-LU" w:eastAsia="fr-LU"/>
        </w:rPr>
        <w:t xml:space="preserve">. </w:t>
      </w:r>
      <w:r w:rsidR="00042899">
        <w:rPr>
          <w:rFonts w:ascii="Arial" w:eastAsia="Arial" w:hAnsi="Arial" w:cs="Arial"/>
          <w:sz w:val="22"/>
          <w:szCs w:val="20"/>
          <w:lang w:val="fr-LU" w:eastAsia="fr-LU"/>
        </w:rPr>
        <w:t>L</w:t>
      </w:r>
      <w:r w:rsidR="00042899">
        <w:rPr>
          <w:rFonts w:ascii="Arial" w:hAnsi="Arial"/>
          <w:sz w:val="22"/>
          <w:szCs w:val="22"/>
          <w:lang w:val="fr-LU" w:eastAsia="fr-LU"/>
        </w:rPr>
        <w:t>es dépenses sont imputées à charge du Fonds d’équipement militaire, pour ce qui est des dépenses occasionnées par l’acquisition des CLRV et de leurs sous-systèmes d’armes et de communication, et des crédits de l’Armée luxembourgeoise, pour ce qui est des dépenses occasionnées par le support logistique des CLRV et de leurs sous-systèmes d’armes et de communication.</w:t>
      </w:r>
      <w:r w:rsidR="00032D4F" w:rsidRPr="00032D4F">
        <w:rPr>
          <w:rFonts w:ascii="Arial" w:eastAsia="Arial" w:hAnsi="Arial" w:cs="Arial"/>
          <w:sz w:val="22"/>
          <w:szCs w:val="20"/>
          <w:lang w:val="fr-LU" w:eastAsia="fr-LU"/>
        </w:rPr>
        <w:t xml:space="preserve">  </w:t>
      </w:r>
    </w:p>
    <w:p w:rsidR="00042899" w:rsidRDefault="00042899" w:rsidP="002521E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C07F6" w:rsidRPr="00DC07F6" w:rsidRDefault="00491603" w:rsidP="0016649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B069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7C4BD4" w:rsidRPr="007C4BD4" w:rsidRDefault="007C4BD4" w:rsidP="0016649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C4BD4" w:rsidRDefault="007C4BD4" w:rsidP="0016649F">
      <w:pPr>
        <w:jc w:val="both"/>
        <w:rPr>
          <w:rFonts w:ascii="Arial" w:hAnsi="Arial" w:cs="Arial"/>
          <w:sz w:val="22"/>
          <w:szCs w:val="22"/>
        </w:rPr>
      </w:pPr>
    </w:p>
    <w:p w:rsidR="007C4BD4" w:rsidRDefault="007C4BD4" w:rsidP="00892F74">
      <w:pPr>
        <w:jc w:val="both"/>
        <w:rPr>
          <w:rFonts w:ascii="Arial" w:hAnsi="Arial" w:cs="Arial"/>
          <w:sz w:val="22"/>
          <w:szCs w:val="22"/>
        </w:rPr>
      </w:pPr>
    </w:p>
    <w:p w:rsidR="007C4BD4" w:rsidRDefault="007C4BD4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F51BF" w:rsidP="00892F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fr-LU" w:eastAsia="fr-LU"/>
        </w:rPr>
        <w:t xml:space="preserve"> </w:t>
      </w:r>
      <w:r w:rsidR="000D2650">
        <w:rPr>
          <w:rFonts w:ascii="Arial" w:hAnsi="Arial"/>
          <w:sz w:val="22"/>
          <w:szCs w:val="22"/>
          <w:lang w:val="fr-LU" w:eastAsia="fr-LU"/>
        </w:rPr>
        <w:t xml:space="preserve"> </w:t>
      </w: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593EEF" w:rsidRPr="0004332C" w:rsidRDefault="00593EEF" w:rsidP="00593EEF">
      <w:pPr>
        <w:jc w:val="center"/>
        <w:rPr>
          <w:rFonts w:ascii="Arial" w:hAnsi="Arial" w:cs="Arial"/>
          <w:b/>
          <w:sz w:val="22"/>
          <w:szCs w:val="22"/>
        </w:rPr>
      </w:pPr>
    </w:p>
    <w:p w:rsidR="009A2F43" w:rsidRDefault="009A2F43" w:rsidP="00486FD9">
      <w:pPr>
        <w:jc w:val="both"/>
        <w:rPr>
          <w:rFonts w:ascii="Arial" w:hAnsi="Arial" w:cs="Arial"/>
          <w:sz w:val="22"/>
          <w:szCs w:val="22"/>
        </w:rPr>
      </w:pPr>
    </w:p>
    <w:sectPr w:rsidR="009A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71" w:rsidRDefault="008F6D71" w:rsidP="00F64489">
      <w:r>
        <w:separator/>
      </w:r>
    </w:p>
  </w:endnote>
  <w:endnote w:type="continuationSeparator" w:id="0">
    <w:p w:rsidR="008F6D71" w:rsidRDefault="008F6D71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71" w:rsidRDefault="008F6D71" w:rsidP="00F64489">
      <w:r>
        <w:separator/>
      </w:r>
    </w:p>
  </w:footnote>
  <w:footnote w:type="continuationSeparator" w:id="0">
    <w:p w:rsidR="008F6D71" w:rsidRDefault="008F6D71" w:rsidP="00F64489">
      <w:r>
        <w:continuationSeparator/>
      </w:r>
    </w:p>
  </w:footnote>
  <w:footnote w:id="1">
    <w:p w:rsidR="00032D4F" w:rsidRPr="00D073ED" w:rsidRDefault="00032D4F" w:rsidP="00032D4F">
      <w:pPr>
        <w:pStyle w:val="Notedebasdepage"/>
        <w:jc w:val="both"/>
        <w:rPr>
          <w:sz w:val="16"/>
          <w:szCs w:val="16"/>
          <w:lang w:val="en-GB"/>
        </w:rPr>
      </w:pPr>
      <w:r w:rsidRPr="00335757">
        <w:rPr>
          <w:rStyle w:val="Appelnotedebasdep"/>
          <w:sz w:val="16"/>
          <w:szCs w:val="16"/>
        </w:rPr>
        <w:footnoteRef/>
      </w:r>
      <w:r w:rsidRPr="00D073ED">
        <w:rPr>
          <w:sz w:val="16"/>
          <w:szCs w:val="16"/>
          <w:lang w:val="en-GB"/>
        </w:rPr>
        <w:t xml:space="preserve"> Protected Reconnaissance Vehicle</w:t>
      </w:r>
    </w:p>
  </w:footnote>
  <w:footnote w:id="2">
    <w:p w:rsidR="004A5EAC" w:rsidRPr="00D073ED" w:rsidRDefault="004A5EAC" w:rsidP="004A5EAC">
      <w:pPr>
        <w:pStyle w:val="Notedebasdepage"/>
        <w:jc w:val="both"/>
        <w:rPr>
          <w:sz w:val="16"/>
          <w:szCs w:val="16"/>
          <w:lang w:val="en-GB"/>
        </w:rPr>
      </w:pPr>
      <w:r w:rsidRPr="00F0311E">
        <w:rPr>
          <w:rStyle w:val="Appelnotedebasdep"/>
          <w:sz w:val="16"/>
          <w:szCs w:val="16"/>
        </w:rPr>
        <w:footnoteRef/>
      </w:r>
      <w:r w:rsidRPr="00D073ED">
        <w:rPr>
          <w:sz w:val="16"/>
          <w:szCs w:val="16"/>
          <w:lang w:val="en-GB"/>
        </w:rPr>
        <w:t xml:space="preserve"> High Mobility Multipurpose Wheeled Vehicle (Humvee/Hummer) Up-Armored </w:t>
      </w:r>
    </w:p>
  </w:footnote>
  <w:footnote w:id="3">
    <w:p w:rsidR="004A5EAC" w:rsidRPr="00F0311E" w:rsidRDefault="004A5EAC" w:rsidP="004A5EAC">
      <w:pPr>
        <w:pStyle w:val="Notedebasdepage"/>
        <w:jc w:val="both"/>
        <w:rPr>
          <w:sz w:val="16"/>
          <w:szCs w:val="16"/>
        </w:rPr>
      </w:pPr>
      <w:r w:rsidRPr="00F0311E">
        <w:rPr>
          <w:rStyle w:val="Appelnotedebasdep"/>
          <w:sz w:val="16"/>
          <w:szCs w:val="16"/>
        </w:rPr>
        <w:footnoteRef/>
      </w:r>
      <w:r w:rsidRPr="00F0311E">
        <w:rPr>
          <w:sz w:val="16"/>
          <w:szCs w:val="16"/>
        </w:rPr>
        <w:t xml:space="preserve"> Protected Reconnaissance Vehicle</w:t>
      </w:r>
    </w:p>
  </w:footnote>
  <w:footnote w:id="4">
    <w:p w:rsidR="004A5EAC" w:rsidRPr="00F23BE7" w:rsidRDefault="004A5EAC" w:rsidP="004A5EAC">
      <w:pPr>
        <w:pStyle w:val="Notedebasdepage"/>
        <w:jc w:val="both"/>
        <w:rPr>
          <w:sz w:val="16"/>
          <w:szCs w:val="16"/>
        </w:rPr>
      </w:pPr>
      <w:r w:rsidRPr="00F23BE7">
        <w:rPr>
          <w:rStyle w:val="Appelnotedebasdep"/>
          <w:sz w:val="16"/>
          <w:szCs w:val="16"/>
        </w:rPr>
        <w:footnoteRef/>
      </w:r>
      <w:r w:rsidRPr="00F23BE7">
        <w:rPr>
          <w:sz w:val="16"/>
          <w:szCs w:val="16"/>
        </w:rPr>
        <w:t xml:space="preserve"> Dispositif de protection contre les </w:t>
      </w:r>
      <w:r w:rsidRPr="00F23BE7">
        <w:rPr>
          <w:iCs/>
          <w:sz w:val="16"/>
          <w:szCs w:val="16"/>
        </w:rPr>
        <w:t>« </w:t>
      </w:r>
      <w:r w:rsidRPr="00F23BE7">
        <w:rPr>
          <w:rFonts w:ascii="Arial" w:hAnsi="Arial"/>
          <w:iCs/>
          <w:sz w:val="16"/>
          <w:szCs w:val="16"/>
          <w:lang w:eastAsia="fr-LU"/>
        </w:rPr>
        <w:t>Improvised Explosive Devices</w:t>
      </w:r>
      <w:r w:rsidRPr="00F23BE7">
        <w:rPr>
          <w:iCs/>
          <w:sz w:val="16"/>
          <w:szCs w:val="16"/>
        </w:rPr>
        <w:t> » (IED)</w:t>
      </w:r>
    </w:p>
  </w:footnote>
  <w:footnote w:id="5">
    <w:p w:rsidR="00032D4F" w:rsidRPr="00A7593D" w:rsidRDefault="00032D4F" w:rsidP="00032D4F">
      <w:pPr>
        <w:pStyle w:val="Notedebasdepage"/>
        <w:jc w:val="both"/>
        <w:rPr>
          <w:sz w:val="16"/>
          <w:szCs w:val="16"/>
        </w:rPr>
      </w:pPr>
      <w:r w:rsidRPr="00A7593D">
        <w:rPr>
          <w:rStyle w:val="Appelnotedebasdep"/>
          <w:sz w:val="16"/>
          <w:szCs w:val="16"/>
        </w:rPr>
        <w:footnoteRef/>
      </w:r>
      <w:r w:rsidRPr="00A7593D">
        <w:rPr>
          <w:sz w:val="16"/>
          <w:szCs w:val="16"/>
        </w:rPr>
        <w:t xml:space="preserve"> Produit intérieur brut</w:t>
      </w:r>
    </w:p>
  </w:footnote>
  <w:footnote w:id="6">
    <w:p w:rsidR="00032D4F" w:rsidRPr="00DA038D" w:rsidRDefault="00032D4F" w:rsidP="00032D4F">
      <w:pPr>
        <w:pStyle w:val="Notedebasdepage"/>
        <w:jc w:val="both"/>
        <w:rPr>
          <w:sz w:val="16"/>
          <w:szCs w:val="16"/>
        </w:rPr>
      </w:pPr>
      <w:r w:rsidRPr="00DA038D">
        <w:rPr>
          <w:rStyle w:val="Appelnotedebasdep"/>
          <w:sz w:val="16"/>
          <w:szCs w:val="16"/>
        </w:rPr>
        <w:footnoteRef/>
      </w:r>
      <w:r w:rsidRPr="00DA038D">
        <w:rPr>
          <w:sz w:val="16"/>
          <w:szCs w:val="16"/>
        </w:rPr>
        <w:t xml:space="preserve"> NATO Support and Procurement Agency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4D67"/>
    <w:multiLevelType w:val="hybridMultilevel"/>
    <w:tmpl w:val="604A933C"/>
    <w:lvl w:ilvl="0" w:tplc="1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53881"/>
    <w:multiLevelType w:val="hybridMultilevel"/>
    <w:tmpl w:val="A1A017C0"/>
    <w:lvl w:ilvl="0" w:tplc="E7A410E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66333"/>
    <w:multiLevelType w:val="hybridMultilevel"/>
    <w:tmpl w:val="40BCF16C"/>
    <w:lvl w:ilvl="0" w:tplc="2F006D14">
      <w:start w:val="1"/>
      <w:numFmt w:val="decimal"/>
      <w:lvlText w:val="%1."/>
      <w:lvlJc w:val="left"/>
      <w:pPr>
        <w:ind w:left="1068" w:hanging="360"/>
      </w:pPr>
    </w:lvl>
    <w:lvl w:ilvl="1" w:tplc="140C0019">
      <w:start w:val="1"/>
      <w:numFmt w:val="lowerLetter"/>
      <w:lvlText w:val="%2."/>
      <w:lvlJc w:val="left"/>
      <w:pPr>
        <w:ind w:left="1788" w:hanging="360"/>
      </w:pPr>
    </w:lvl>
    <w:lvl w:ilvl="2" w:tplc="140C001B">
      <w:start w:val="1"/>
      <w:numFmt w:val="lowerRoman"/>
      <w:lvlText w:val="%3."/>
      <w:lvlJc w:val="right"/>
      <w:pPr>
        <w:ind w:left="2508" w:hanging="180"/>
      </w:pPr>
    </w:lvl>
    <w:lvl w:ilvl="3" w:tplc="140C000F">
      <w:start w:val="1"/>
      <w:numFmt w:val="decimal"/>
      <w:lvlText w:val="%4."/>
      <w:lvlJc w:val="left"/>
      <w:pPr>
        <w:ind w:left="3228" w:hanging="360"/>
      </w:pPr>
    </w:lvl>
    <w:lvl w:ilvl="4" w:tplc="140C0019">
      <w:start w:val="1"/>
      <w:numFmt w:val="lowerLetter"/>
      <w:lvlText w:val="%5."/>
      <w:lvlJc w:val="left"/>
      <w:pPr>
        <w:ind w:left="3948" w:hanging="360"/>
      </w:pPr>
    </w:lvl>
    <w:lvl w:ilvl="5" w:tplc="140C001B">
      <w:start w:val="1"/>
      <w:numFmt w:val="lowerRoman"/>
      <w:lvlText w:val="%6."/>
      <w:lvlJc w:val="right"/>
      <w:pPr>
        <w:ind w:left="4668" w:hanging="180"/>
      </w:pPr>
    </w:lvl>
    <w:lvl w:ilvl="6" w:tplc="140C000F">
      <w:start w:val="1"/>
      <w:numFmt w:val="decimal"/>
      <w:lvlText w:val="%7."/>
      <w:lvlJc w:val="left"/>
      <w:pPr>
        <w:ind w:left="5388" w:hanging="360"/>
      </w:pPr>
    </w:lvl>
    <w:lvl w:ilvl="7" w:tplc="140C0019">
      <w:start w:val="1"/>
      <w:numFmt w:val="lowerLetter"/>
      <w:lvlText w:val="%8."/>
      <w:lvlJc w:val="left"/>
      <w:pPr>
        <w:ind w:left="6108" w:hanging="360"/>
      </w:pPr>
    </w:lvl>
    <w:lvl w:ilvl="8" w:tplc="140C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44C0"/>
    <w:rsid w:val="00027C60"/>
    <w:rsid w:val="00032D4F"/>
    <w:rsid w:val="00033F26"/>
    <w:rsid w:val="00035407"/>
    <w:rsid w:val="00042899"/>
    <w:rsid w:val="0004332C"/>
    <w:rsid w:val="00084FD1"/>
    <w:rsid w:val="000925B9"/>
    <w:rsid w:val="000D0F0B"/>
    <w:rsid w:val="000D2650"/>
    <w:rsid w:val="000F4793"/>
    <w:rsid w:val="000F51BF"/>
    <w:rsid w:val="00116BC8"/>
    <w:rsid w:val="00126AE6"/>
    <w:rsid w:val="00127738"/>
    <w:rsid w:val="001443D7"/>
    <w:rsid w:val="00156290"/>
    <w:rsid w:val="0016649F"/>
    <w:rsid w:val="00166A32"/>
    <w:rsid w:val="00191E5D"/>
    <w:rsid w:val="00193625"/>
    <w:rsid w:val="001A071E"/>
    <w:rsid w:val="001F270E"/>
    <w:rsid w:val="001F66A9"/>
    <w:rsid w:val="002212C4"/>
    <w:rsid w:val="00232E53"/>
    <w:rsid w:val="00244BDD"/>
    <w:rsid w:val="002521E5"/>
    <w:rsid w:val="00280D12"/>
    <w:rsid w:val="002A0C31"/>
    <w:rsid w:val="002E7F09"/>
    <w:rsid w:val="002F3BFE"/>
    <w:rsid w:val="00301EF3"/>
    <w:rsid w:val="00315258"/>
    <w:rsid w:val="003277F2"/>
    <w:rsid w:val="003357C8"/>
    <w:rsid w:val="003428B6"/>
    <w:rsid w:val="00365E9C"/>
    <w:rsid w:val="003846C1"/>
    <w:rsid w:val="0039081D"/>
    <w:rsid w:val="0039147B"/>
    <w:rsid w:val="003A1BF4"/>
    <w:rsid w:val="003B0690"/>
    <w:rsid w:val="003B61B9"/>
    <w:rsid w:val="003C4C50"/>
    <w:rsid w:val="003F0254"/>
    <w:rsid w:val="004165FE"/>
    <w:rsid w:val="00461F0D"/>
    <w:rsid w:val="004642F9"/>
    <w:rsid w:val="00486FD9"/>
    <w:rsid w:val="00491603"/>
    <w:rsid w:val="004A1A24"/>
    <w:rsid w:val="004A5EAC"/>
    <w:rsid w:val="004B15C4"/>
    <w:rsid w:val="0051074A"/>
    <w:rsid w:val="00513853"/>
    <w:rsid w:val="0053130F"/>
    <w:rsid w:val="00554D00"/>
    <w:rsid w:val="00575DEE"/>
    <w:rsid w:val="00584688"/>
    <w:rsid w:val="00593EEF"/>
    <w:rsid w:val="005A141D"/>
    <w:rsid w:val="005C5FB2"/>
    <w:rsid w:val="005D0D19"/>
    <w:rsid w:val="005E7D9B"/>
    <w:rsid w:val="00611A2A"/>
    <w:rsid w:val="006163E6"/>
    <w:rsid w:val="00621991"/>
    <w:rsid w:val="006252D8"/>
    <w:rsid w:val="0065481F"/>
    <w:rsid w:val="00661D82"/>
    <w:rsid w:val="006A02CE"/>
    <w:rsid w:val="006C3F82"/>
    <w:rsid w:val="006D38A3"/>
    <w:rsid w:val="006E5A7A"/>
    <w:rsid w:val="00703DD4"/>
    <w:rsid w:val="00722236"/>
    <w:rsid w:val="00746443"/>
    <w:rsid w:val="00753A88"/>
    <w:rsid w:val="00791AA4"/>
    <w:rsid w:val="007C4BD4"/>
    <w:rsid w:val="00823F7A"/>
    <w:rsid w:val="00836EE2"/>
    <w:rsid w:val="008413B3"/>
    <w:rsid w:val="00892F74"/>
    <w:rsid w:val="008933EF"/>
    <w:rsid w:val="008C68A0"/>
    <w:rsid w:val="008D0BD4"/>
    <w:rsid w:val="008E1D5E"/>
    <w:rsid w:val="008F6D71"/>
    <w:rsid w:val="008F7FE0"/>
    <w:rsid w:val="00900B74"/>
    <w:rsid w:val="00934486"/>
    <w:rsid w:val="00940FA2"/>
    <w:rsid w:val="00951833"/>
    <w:rsid w:val="009625FC"/>
    <w:rsid w:val="00973B23"/>
    <w:rsid w:val="00975985"/>
    <w:rsid w:val="00980CBA"/>
    <w:rsid w:val="009A2F43"/>
    <w:rsid w:val="009E0540"/>
    <w:rsid w:val="009E37B8"/>
    <w:rsid w:val="00A21310"/>
    <w:rsid w:val="00A768B9"/>
    <w:rsid w:val="00A94031"/>
    <w:rsid w:val="00AA0A15"/>
    <w:rsid w:val="00AC5F70"/>
    <w:rsid w:val="00AE2A4E"/>
    <w:rsid w:val="00AF0C78"/>
    <w:rsid w:val="00AF23C3"/>
    <w:rsid w:val="00AF4723"/>
    <w:rsid w:val="00B0247E"/>
    <w:rsid w:val="00B17C5A"/>
    <w:rsid w:val="00B21027"/>
    <w:rsid w:val="00B24938"/>
    <w:rsid w:val="00B44BCB"/>
    <w:rsid w:val="00B54DB7"/>
    <w:rsid w:val="00B9054F"/>
    <w:rsid w:val="00B92C9B"/>
    <w:rsid w:val="00B96B5B"/>
    <w:rsid w:val="00BD3941"/>
    <w:rsid w:val="00BE2372"/>
    <w:rsid w:val="00C03363"/>
    <w:rsid w:val="00C05D50"/>
    <w:rsid w:val="00C24E31"/>
    <w:rsid w:val="00C330DE"/>
    <w:rsid w:val="00C413FB"/>
    <w:rsid w:val="00C518A7"/>
    <w:rsid w:val="00C519D2"/>
    <w:rsid w:val="00C51E15"/>
    <w:rsid w:val="00C5204B"/>
    <w:rsid w:val="00C619B4"/>
    <w:rsid w:val="00C67BB9"/>
    <w:rsid w:val="00CC352F"/>
    <w:rsid w:val="00CE4CA0"/>
    <w:rsid w:val="00D073ED"/>
    <w:rsid w:val="00D225B0"/>
    <w:rsid w:val="00D315E5"/>
    <w:rsid w:val="00D618C2"/>
    <w:rsid w:val="00DC07F6"/>
    <w:rsid w:val="00DC3848"/>
    <w:rsid w:val="00DC4482"/>
    <w:rsid w:val="00E11F45"/>
    <w:rsid w:val="00E35A0D"/>
    <w:rsid w:val="00E44089"/>
    <w:rsid w:val="00E47CB3"/>
    <w:rsid w:val="00E510A2"/>
    <w:rsid w:val="00E651B8"/>
    <w:rsid w:val="00E7620B"/>
    <w:rsid w:val="00E941F7"/>
    <w:rsid w:val="00EC7893"/>
    <w:rsid w:val="00ED2527"/>
    <w:rsid w:val="00EE43A4"/>
    <w:rsid w:val="00F04C43"/>
    <w:rsid w:val="00F1795E"/>
    <w:rsid w:val="00F30823"/>
    <w:rsid w:val="00F312BA"/>
    <w:rsid w:val="00F43FB0"/>
    <w:rsid w:val="00F50758"/>
    <w:rsid w:val="00F64489"/>
    <w:rsid w:val="00F65929"/>
    <w:rsid w:val="00F721DC"/>
    <w:rsid w:val="00F839E7"/>
    <w:rsid w:val="00F9369E"/>
    <w:rsid w:val="00FB5D60"/>
    <w:rsid w:val="00FC5E55"/>
    <w:rsid w:val="00FD50EA"/>
    <w:rsid w:val="00FD6548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61A9DE-F670-4BC2-A766-CAB42311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DP7852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7852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/sftpecos/Dossiers_parlementaires/7852/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AB492C2-30BE-439B-95B0-3914A4EDAC35}"/>
</file>

<file path=customXml/itemProps2.xml><?xml version="1.0" encoding="utf-8"?>
<ds:datastoreItem xmlns:ds="http://schemas.openxmlformats.org/officeDocument/2006/customXml" ds:itemID="{C2956B8D-45EF-4792-A14B-A5DEA119925B}"/>
</file>

<file path=customXml/itemProps3.xml><?xml version="1.0" encoding="utf-8"?>
<ds:datastoreItem xmlns:ds="http://schemas.openxmlformats.org/officeDocument/2006/customXml" ds:itemID="{E81955F3-40C7-428A-A15C-3CBC58FC9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