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99" w:rsidRPr="00212D99" w:rsidRDefault="00212D99" w:rsidP="00212D99">
      <w:pPr>
        <w:spacing w:after="0" w:line="240" w:lineRule="auto"/>
        <w:contextualSpacing/>
        <w:jc w:val="center"/>
        <w:rPr>
          <w:rFonts w:ascii="Arial" w:hAnsi="Arial"/>
          <w:b/>
          <w:bCs/>
        </w:rPr>
      </w:pPr>
      <w:bookmarkStart w:id="0" w:name="_GoBack"/>
      <w:bookmarkEnd w:id="0"/>
      <w:r w:rsidRPr="00212D99">
        <w:rPr>
          <w:rFonts w:ascii="Arial" w:hAnsi="Arial"/>
          <w:b/>
          <w:bCs/>
        </w:rPr>
        <w:t>7846</w:t>
      </w:r>
      <w:r>
        <w:rPr>
          <w:rFonts w:ascii="Arial" w:hAnsi="Arial"/>
          <w:b/>
          <w:bCs/>
        </w:rPr>
        <w:t xml:space="preserve"> Résumé</w:t>
      </w:r>
    </w:p>
    <w:p w:rsidR="00212D99" w:rsidRDefault="00212D99" w:rsidP="00212D99">
      <w:pPr>
        <w:spacing w:after="0" w:line="240" w:lineRule="auto"/>
        <w:contextualSpacing/>
        <w:jc w:val="both"/>
        <w:rPr>
          <w:rFonts w:ascii="Arial" w:hAnsi="Arial"/>
        </w:rPr>
      </w:pPr>
    </w:p>
    <w:p w:rsidR="00212D99" w:rsidRPr="00212D99" w:rsidRDefault="00750DDF" w:rsidP="00212D99">
      <w:pPr>
        <w:spacing w:after="0" w:line="24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>Ce</w:t>
      </w:r>
      <w:r w:rsidR="00212D99" w:rsidRPr="00212D99">
        <w:rPr>
          <w:rFonts w:ascii="Arial" w:hAnsi="Arial"/>
        </w:rPr>
        <w:t xml:space="preserve"> projet de loi </w:t>
      </w:r>
      <w:r>
        <w:rPr>
          <w:rFonts w:ascii="Arial" w:hAnsi="Arial"/>
        </w:rPr>
        <w:t xml:space="preserve">vise à </w:t>
      </w:r>
      <w:r w:rsidR="00212D99" w:rsidRPr="00212D99">
        <w:rPr>
          <w:rFonts w:ascii="Arial" w:hAnsi="Arial"/>
        </w:rPr>
        <w:t>transposer en droit national la directive 2019/789 du Parlement européen et du Conseil du 17 avril 2019 établissant des règles sur l’exercice du droit d’auteur et des droits voisins applicables à certaines transmissions en ligne d’organismes de radiodiffusion et retransmissions de programmes de télévision et de radio, et modifiant la directive 93/83/CEE du Conseil.</w:t>
      </w:r>
    </w:p>
    <w:p w:rsidR="00212D99" w:rsidRPr="00212D99" w:rsidRDefault="00212D99" w:rsidP="00212D99">
      <w:pPr>
        <w:spacing w:after="0" w:line="240" w:lineRule="auto"/>
        <w:contextualSpacing/>
        <w:jc w:val="both"/>
        <w:rPr>
          <w:rFonts w:ascii="Arial" w:hAnsi="Arial"/>
        </w:rPr>
      </w:pPr>
    </w:p>
    <w:p w:rsidR="00212D99" w:rsidRPr="00212D99" w:rsidRDefault="00750DDF" w:rsidP="00750DDF">
      <w:pPr>
        <w:spacing w:after="120" w:line="240" w:lineRule="auto"/>
        <w:jc w:val="both"/>
        <w:rPr>
          <w:rFonts w:ascii="Arial" w:hAnsi="Arial"/>
        </w:rPr>
      </w:pPr>
      <w:r w:rsidRPr="00750DDF">
        <w:rPr>
          <w:rFonts w:ascii="Arial" w:hAnsi="Arial"/>
        </w:rPr>
        <w:t xml:space="preserve">Cette </w:t>
      </w:r>
      <w:r w:rsidR="00212D99" w:rsidRPr="00212D99">
        <w:rPr>
          <w:rFonts w:ascii="Arial" w:hAnsi="Arial"/>
        </w:rPr>
        <w:t>directive, appelée « directive SATCAB 2 », poursuit trois objectifs :</w:t>
      </w:r>
    </w:p>
    <w:p w:rsidR="00212D99" w:rsidRPr="00212D99" w:rsidRDefault="00212D99" w:rsidP="00212D99">
      <w:pPr>
        <w:numPr>
          <w:ilvl w:val="0"/>
          <w:numId w:val="1"/>
        </w:numPr>
        <w:spacing w:after="120" w:line="240" w:lineRule="auto"/>
        <w:jc w:val="both"/>
        <w:rPr>
          <w:rFonts w:ascii="Arial" w:hAnsi="Arial"/>
        </w:rPr>
      </w:pPr>
      <w:r w:rsidRPr="00212D99">
        <w:rPr>
          <w:rFonts w:ascii="Arial" w:hAnsi="Arial"/>
        </w:rPr>
        <w:t>appliquer le principe du pays d’origine à certains services en ligne des stations radio et de télévision</w:t>
      </w:r>
      <w:r w:rsidR="0023786F">
        <w:rPr>
          <w:rFonts w:ascii="Arial" w:hAnsi="Arial"/>
        </w:rPr>
        <w:t> ;</w:t>
      </w:r>
      <w:r w:rsidRPr="00212D99">
        <w:rPr>
          <w:rFonts w:ascii="Arial" w:hAnsi="Arial"/>
        </w:rPr>
        <w:t xml:space="preserve"> </w:t>
      </w:r>
    </w:p>
    <w:p w:rsidR="00212D99" w:rsidRPr="00212D99" w:rsidRDefault="00212D99" w:rsidP="00212D99">
      <w:pPr>
        <w:numPr>
          <w:ilvl w:val="0"/>
          <w:numId w:val="1"/>
        </w:numPr>
        <w:spacing w:after="120" w:line="240" w:lineRule="auto"/>
        <w:jc w:val="both"/>
        <w:rPr>
          <w:rFonts w:ascii="Arial" w:hAnsi="Arial"/>
        </w:rPr>
      </w:pPr>
      <w:r w:rsidRPr="00212D99">
        <w:rPr>
          <w:rFonts w:ascii="Arial" w:hAnsi="Arial"/>
        </w:rPr>
        <w:t xml:space="preserve">introduire de nouvelles dispositions relatives à la retransmission de programmes de radio et de télévision à l’aide d’autres moyens que le câble ; </w:t>
      </w:r>
    </w:p>
    <w:p w:rsidR="00212D99" w:rsidRPr="00212D99" w:rsidRDefault="00212D99" w:rsidP="00212D9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/>
        </w:rPr>
      </w:pPr>
      <w:r w:rsidRPr="00212D99">
        <w:rPr>
          <w:rFonts w:ascii="Arial" w:hAnsi="Arial"/>
        </w:rPr>
        <w:t>définir des règles pour l’emploi d’œuvres ou d’autres contenus protégés moyennant le processus technique de l’injection directe.</w:t>
      </w:r>
    </w:p>
    <w:p w:rsidR="00212D99" w:rsidRPr="00212D99" w:rsidRDefault="00212D99" w:rsidP="0023786F">
      <w:pPr>
        <w:spacing w:after="0" w:line="240" w:lineRule="auto"/>
        <w:jc w:val="center"/>
        <w:rPr>
          <w:rFonts w:ascii="Arial" w:hAnsi="Arial"/>
        </w:rPr>
      </w:pPr>
    </w:p>
    <w:p w:rsidR="009029C8" w:rsidRPr="001E1812" w:rsidRDefault="00750DDF" w:rsidP="001E1812">
      <w:pPr>
        <w:spacing w:after="0" w:line="24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212D99" w:rsidRPr="00212D99">
        <w:rPr>
          <w:rFonts w:ascii="Arial" w:hAnsi="Arial"/>
        </w:rPr>
        <w:t xml:space="preserve">a </w:t>
      </w:r>
      <w:r>
        <w:rPr>
          <w:rFonts w:ascii="Arial" w:hAnsi="Arial"/>
        </w:rPr>
        <w:t xml:space="preserve">transposition en </w:t>
      </w:r>
      <w:r w:rsidR="00A46B71">
        <w:rPr>
          <w:rFonts w:ascii="Arial" w:hAnsi="Arial"/>
        </w:rPr>
        <w:t xml:space="preserve">droit luxembourgeois </w:t>
      </w:r>
      <w:r w:rsidR="0023786F">
        <w:rPr>
          <w:rFonts w:ascii="Arial" w:hAnsi="Arial"/>
        </w:rPr>
        <w:t xml:space="preserve">exige de </w:t>
      </w:r>
      <w:r w:rsidR="00212D99" w:rsidRPr="00212D99">
        <w:rPr>
          <w:rFonts w:ascii="Arial" w:hAnsi="Arial"/>
        </w:rPr>
        <w:t>modifi</w:t>
      </w:r>
      <w:r w:rsidR="0023786F">
        <w:rPr>
          <w:rFonts w:ascii="Arial" w:hAnsi="Arial"/>
        </w:rPr>
        <w:t xml:space="preserve">er </w:t>
      </w:r>
      <w:r w:rsidR="00212D99" w:rsidRPr="00212D99">
        <w:rPr>
          <w:rFonts w:ascii="Arial" w:hAnsi="Arial"/>
        </w:rPr>
        <w:t xml:space="preserve">et </w:t>
      </w:r>
      <w:r w:rsidR="0023786F">
        <w:rPr>
          <w:rFonts w:ascii="Arial" w:hAnsi="Arial"/>
        </w:rPr>
        <w:t xml:space="preserve">de </w:t>
      </w:r>
      <w:r w:rsidR="001E1812" w:rsidRPr="00212D99">
        <w:rPr>
          <w:rFonts w:ascii="Arial" w:hAnsi="Arial"/>
        </w:rPr>
        <w:t>compléte</w:t>
      </w:r>
      <w:r w:rsidR="001E1812">
        <w:rPr>
          <w:rFonts w:ascii="Arial" w:hAnsi="Arial"/>
        </w:rPr>
        <w:t>r</w:t>
      </w:r>
      <w:r w:rsidR="00212D99" w:rsidRPr="00212D99">
        <w:rPr>
          <w:rFonts w:ascii="Arial" w:hAnsi="Arial"/>
        </w:rPr>
        <w:t xml:space="preserve"> </w:t>
      </w:r>
      <w:r w:rsidR="001E1812">
        <w:rPr>
          <w:rFonts w:ascii="Arial" w:hAnsi="Arial"/>
        </w:rPr>
        <w:t>la</w:t>
      </w:r>
      <w:r w:rsidR="00212D99" w:rsidRPr="00212D99">
        <w:rPr>
          <w:rFonts w:ascii="Arial" w:hAnsi="Arial"/>
        </w:rPr>
        <w:t xml:space="preserve"> troisième partie de la loi modifiée du 18 avril 2001</w:t>
      </w:r>
      <w:r w:rsidR="001E1812">
        <w:rPr>
          <w:rFonts w:ascii="Arial" w:hAnsi="Arial"/>
        </w:rPr>
        <w:t xml:space="preserve"> </w:t>
      </w:r>
      <w:r w:rsidR="001E1812" w:rsidRPr="001E1812">
        <w:rPr>
          <w:rFonts w:ascii="Arial" w:hAnsi="Arial"/>
        </w:rPr>
        <w:t>sur les droits d’auteur, les droits voisins et les bases de données.</w:t>
      </w:r>
      <w:r w:rsidR="00212D99" w:rsidRPr="00212D99">
        <w:rPr>
          <w:rFonts w:ascii="Arial" w:hAnsi="Arial"/>
        </w:rPr>
        <w:t xml:space="preserve"> </w:t>
      </w:r>
    </w:p>
    <w:sectPr w:rsidR="009029C8" w:rsidRPr="001E1812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E77"/>
    <w:multiLevelType w:val="hybridMultilevel"/>
    <w:tmpl w:val="5FB4F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D99"/>
    <w:rsid w:val="000861F5"/>
    <w:rsid w:val="00107D9E"/>
    <w:rsid w:val="001E1812"/>
    <w:rsid w:val="00212D99"/>
    <w:rsid w:val="0023786F"/>
    <w:rsid w:val="0040165A"/>
    <w:rsid w:val="00750DDF"/>
    <w:rsid w:val="00790EF5"/>
    <w:rsid w:val="008E05EC"/>
    <w:rsid w:val="009029C8"/>
    <w:rsid w:val="00A46B71"/>
    <w:rsid w:val="00B424FD"/>
    <w:rsid w:val="00B4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ECABC8-69FD-45AD-818C-33BC4846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DP7846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7846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/sftpecos/Dossiers_parlementaires/7846/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7B3E1AD-79F8-4C82-9854-162FED58168A}"/>
</file>

<file path=customXml/itemProps2.xml><?xml version="1.0" encoding="utf-8"?>
<ds:datastoreItem xmlns:ds="http://schemas.openxmlformats.org/officeDocument/2006/customXml" ds:itemID="{A4C01B2D-1B6C-46CD-8943-9266EBB66369}"/>
</file>

<file path=customXml/itemProps3.xml><?xml version="1.0" encoding="utf-8"?>
<ds:datastoreItem xmlns:ds="http://schemas.openxmlformats.org/officeDocument/2006/customXml" ds:itemID="{CC2852B0-209F-4375-935E-94C63BE02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