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F9" w:rsidRPr="00F25FE1" w:rsidRDefault="00F17DF9" w:rsidP="001E3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bookmarkStart w:id="0" w:name="_GoBack"/>
      <w:bookmarkEnd w:id="0"/>
      <w:r w:rsidRPr="00F25FE1">
        <w:rPr>
          <w:rFonts w:ascii="Arial" w:hAnsi="Arial" w:cs="Arial"/>
          <w:b/>
          <w:bCs/>
          <w:lang w:val="fr-FR"/>
        </w:rPr>
        <w:t>Projet de loi relative à l’émission de lettres de gage, et portant :</w:t>
      </w:r>
    </w:p>
    <w:p w:rsidR="00F17DF9" w:rsidRPr="00F25FE1" w:rsidRDefault="00F17DF9" w:rsidP="001E3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</w:p>
    <w:p w:rsidR="00F17DF9" w:rsidRPr="00F25FE1" w:rsidRDefault="00F17DF9" w:rsidP="001E3478">
      <w:pPr>
        <w:spacing w:after="0" w:line="240" w:lineRule="auto"/>
        <w:ind w:left="993" w:hanging="426"/>
        <w:jc w:val="both"/>
        <w:rPr>
          <w:rFonts w:ascii="Arial" w:hAnsi="Arial" w:cs="Arial"/>
          <w:b/>
          <w:bCs/>
          <w:lang w:val="fr-FR"/>
        </w:rPr>
      </w:pPr>
      <w:r w:rsidRPr="00F25FE1">
        <w:rPr>
          <w:rFonts w:ascii="Arial" w:hAnsi="Arial" w:cs="Arial"/>
          <w:b/>
          <w:bCs/>
          <w:lang w:val="fr-FR"/>
        </w:rPr>
        <w:t xml:space="preserve">1° </w:t>
      </w:r>
      <w:r w:rsidRPr="00F25FE1">
        <w:rPr>
          <w:rFonts w:ascii="Arial" w:hAnsi="Arial" w:cs="Arial"/>
          <w:b/>
          <w:bCs/>
          <w:lang w:val="fr-FR"/>
        </w:rPr>
        <w:tab/>
        <w:t>transposition de la directive (UE) 2019/2162 du Parlement européen et du Conseil du 27 novembre 2019 concernant l’émission d’obligations garanties et la surveillance publique des obligations garanties et modifiant les directives 2009/65/CE et 2014/59/UE ;</w:t>
      </w:r>
    </w:p>
    <w:p w:rsidR="00F17DF9" w:rsidRPr="00F25FE1" w:rsidRDefault="00F17DF9" w:rsidP="001E3478">
      <w:pPr>
        <w:spacing w:after="0" w:line="240" w:lineRule="auto"/>
        <w:ind w:left="993" w:hanging="426"/>
        <w:jc w:val="both"/>
        <w:rPr>
          <w:rFonts w:ascii="Arial" w:hAnsi="Arial" w:cs="Arial"/>
          <w:b/>
          <w:bCs/>
          <w:lang w:val="fr-FR"/>
        </w:rPr>
      </w:pPr>
      <w:r w:rsidRPr="00F25FE1">
        <w:rPr>
          <w:rFonts w:ascii="Arial" w:hAnsi="Arial" w:cs="Arial"/>
          <w:b/>
          <w:bCs/>
          <w:lang w:val="fr-FR"/>
        </w:rPr>
        <w:t xml:space="preserve">2° </w:t>
      </w:r>
      <w:r w:rsidRPr="00F25FE1">
        <w:rPr>
          <w:rFonts w:ascii="Arial" w:hAnsi="Arial" w:cs="Arial"/>
          <w:b/>
          <w:bCs/>
          <w:lang w:val="fr-FR"/>
        </w:rPr>
        <w:tab/>
        <w:t>mise en œuvre du règlement (UE) 2019/2160 du Parlement européen et du Conseil du 27 novembre 2019 modifiant le règlement (UE) n° 575/2013 en ce qui concerne les expositions sous forme d’obligations garanties ; et</w:t>
      </w:r>
    </w:p>
    <w:p w:rsidR="00F17DF9" w:rsidRPr="00F25FE1" w:rsidRDefault="00F17DF9" w:rsidP="001E3478">
      <w:pPr>
        <w:spacing w:after="0" w:line="240" w:lineRule="auto"/>
        <w:ind w:left="993" w:hanging="426"/>
        <w:jc w:val="both"/>
        <w:rPr>
          <w:rFonts w:ascii="Arial" w:hAnsi="Arial" w:cs="Arial"/>
          <w:b/>
          <w:bCs/>
          <w:lang w:val="fr-FR"/>
        </w:rPr>
      </w:pPr>
      <w:r w:rsidRPr="00F25FE1">
        <w:rPr>
          <w:rFonts w:ascii="Arial" w:hAnsi="Arial" w:cs="Arial"/>
          <w:b/>
          <w:bCs/>
          <w:lang w:val="fr-FR"/>
        </w:rPr>
        <w:t xml:space="preserve">3° </w:t>
      </w:r>
      <w:r w:rsidRPr="00F25FE1">
        <w:rPr>
          <w:rFonts w:ascii="Arial" w:hAnsi="Arial" w:cs="Arial"/>
          <w:b/>
          <w:bCs/>
          <w:lang w:val="fr-FR"/>
        </w:rPr>
        <w:tab/>
        <w:t xml:space="preserve">modification de : </w:t>
      </w:r>
    </w:p>
    <w:p w:rsidR="00F17DF9" w:rsidRPr="00F25FE1" w:rsidRDefault="00F17DF9" w:rsidP="001E3478">
      <w:pPr>
        <w:spacing w:after="0" w:line="240" w:lineRule="auto"/>
        <w:ind w:left="1560" w:hanging="425"/>
        <w:jc w:val="both"/>
        <w:rPr>
          <w:rFonts w:ascii="Arial" w:hAnsi="Arial" w:cs="Arial"/>
          <w:b/>
          <w:bCs/>
          <w:lang w:val="fr-FR"/>
        </w:rPr>
      </w:pPr>
      <w:r w:rsidRPr="00F25FE1">
        <w:rPr>
          <w:rFonts w:ascii="Arial" w:hAnsi="Arial" w:cs="Arial"/>
          <w:b/>
          <w:bCs/>
          <w:lang w:val="fr-FR"/>
        </w:rPr>
        <w:t xml:space="preserve">a) </w:t>
      </w:r>
      <w:r w:rsidRPr="00F25FE1">
        <w:rPr>
          <w:rFonts w:ascii="Arial" w:hAnsi="Arial" w:cs="Arial"/>
          <w:b/>
          <w:bCs/>
          <w:lang w:val="fr-FR"/>
        </w:rPr>
        <w:tab/>
        <w:t xml:space="preserve">la loi modifiée du 5 avril 1993 relative au secteur financier ; </w:t>
      </w:r>
    </w:p>
    <w:p w:rsidR="00F17DF9" w:rsidRPr="00F25FE1" w:rsidRDefault="00F17DF9" w:rsidP="001E3478">
      <w:pPr>
        <w:spacing w:after="0" w:line="240" w:lineRule="auto"/>
        <w:ind w:left="1560" w:hanging="425"/>
        <w:jc w:val="both"/>
        <w:rPr>
          <w:rFonts w:ascii="Arial" w:hAnsi="Arial" w:cs="Arial"/>
          <w:b/>
          <w:bCs/>
          <w:lang w:val="fr-FR"/>
        </w:rPr>
      </w:pPr>
      <w:r w:rsidRPr="00F25FE1">
        <w:rPr>
          <w:rFonts w:ascii="Arial" w:hAnsi="Arial" w:cs="Arial"/>
          <w:b/>
          <w:bCs/>
          <w:lang w:val="fr-FR"/>
        </w:rPr>
        <w:t xml:space="preserve">b) </w:t>
      </w:r>
      <w:r w:rsidRPr="00F25FE1">
        <w:rPr>
          <w:rFonts w:ascii="Arial" w:hAnsi="Arial" w:cs="Arial"/>
          <w:b/>
          <w:bCs/>
          <w:lang w:val="fr-FR"/>
        </w:rPr>
        <w:tab/>
        <w:t>la loi modifiée du 23 décembre 1998 portant création d’une commission de surveillance du secteur financier ;</w:t>
      </w:r>
    </w:p>
    <w:p w:rsidR="00F17DF9" w:rsidRPr="00F25FE1" w:rsidRDefault="00F17DF9" w:rsidP="001E3478">
      <w:pPr>
        <w:spacing w:after="0" w:line="240" w:lineRule="auto"/>
        <w:ind w:left="1560" w:hanging="425"/>
        <w:jc w:val="both"/>
        <w:rPr>
          <w:rFonts w:ascii="Arial" w:hAnsi="Arial" w:cs="Arial"/>
          <w:b/>
          <w:bCs/>
          <w:lang w:val="fr-FR"/>
        </w:rPr>
      </w:pPr>
      <w:r w:rsidRPr="00F25FE1">
        <w:rPr>
          <w:rFonts w:ascii="Arial" w:hAnsi="Arial" w:cs="Arial"/>
          <w:b/>
          <w:bCs/>
          <w:lang w:val="fr-FR"/>
        </w:rPr>
        <w:t xml:space="preserve">c) </w:t>
      </w:r>
      <w:r w:rsidRPr="00F25FE1">
        <w:rPr>
          <w:rFonts w:ascii="Arial" w:hAnsi="Arial" w:cs="Arial"/>
          <w:b/>
          <w:bCs/>
          <w:lang w:val="fr-FR"/>
        </w:rPr>
        <w:tab/>
        <w:t>la loi modifiée du 17 décembre 2010 concernant les organismes de placement collectif ; et de</w:t>
      </w:r>
    </w:p>
    <w:p w:rsidR="00F17DF9" w:rsidRPr="00F25FE1" w:rsidRDefault="00F17DF9" w:rsidP="001E3478">
      <w:pPr>
        <w:spacing w:after="0" w:line="240" w:lineRule="auto"/>
        <w:ind w:left="1560" w:hanging="425"/>
        <w:jc w:val="both"/>
        <w:rPr>
          <w:rFonts w:ascii="Arial" w:hAnsi="Arial" w:cs="Arial"/>
          <w:b/>
          <w:bCs/>
          <w:lang w:val="fr-FR"/>
        </w:rPr>
      </w:pPr>
      <w:r w:rsidRPr="00F25FE1">
        <w:rPr>
          <w:rFonts w:ascii="Arial" w:hAnsi="Arial" w:cs="Arial"/>
          <w:b/>
          <w:bCs/>
          <w:lang w:val="fr-FR"/>
        </w:rPr>
        <w:t xml:space="preserve">d) </w:t>
      </w:r>
      <w:r w:rsidRPr="00F25FE1">
        <w:rPr>
          <w:rFonts w:ascii="Arial" w:hAnsi="Arial" w:cs="Arial"/>
          <w:b/>
          <w:bCs/>
          <w:lang w:val="fr-FR"/>
        </w:rPr>
        <w:tab/>
        <w:t>la loi modifiée du 18 décembre 2015 relative à la défaillance des</w:t>
      </w:r>
      <w:r w:rsidR="00317960" w:rsidRPr="00F25FE1">
        <w:rPr>
          <w:rFonts w:ascii="Arial" w:hAnsi="Arial" w:cs="Arial"/>
          <w:b/>
          <w:bCs/>
          <w:lang w:val="fr-FR"/>
        </w:rPr>
        <w:t xml:space="preserve"> </w:t>
      </w:r>
      <w:r w:rsidRPr="00F25FE1">
        <w:rPr>
          <w:rFonts w:ascii="Arial" w:hAnsi="Arial" w:cs="Arial"/>
          <w:b/>
          <w:bCs/>
          <w:lang w:val="fr-FR"/>
        </w:rPr>
        <w:t xml:space="preserve">établissements de crédit et de certaines entreprises d’investissement </w:t>
      </w:r>
    </w:p>
    <w:p w:rsidR="00895247" w:rsidRPr="007E2E31" w:rsidRDefault="00895247" w:rsidP="00F25FE1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:rsidR="00F25FE1" w:rsidRDefault="00E73064" w:rsidP="00E73064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E73064">
        <w:rPr>
          <w:rFonts w:ascii="Arial" w:hAnsi="Arial" w:cs="Arial"/>
        </w:rPr>
        <w:t>Le</w:t>
      </w:r>
      <w:r w:rsidR="00F25FE1">
        <w:rPr>
          <w:rFonts w:ascii="Arial" w:hAnsi="Arial" w:cs="Arial"/>
        </w:rPr>
        <w:t xml:space="preserve"> présent</w:t>
      </w:r>
      <w:r w:rsidRPr="00E73064">
        <w:rPr>
          <w:rFonts w:ascii="Arial" w:hAnsi="Arial" w:cs="Arial"/>
        </w:rPr>
        <w:t xml:space="preserve"> projet de loi a pour objet de </w:t>
      </w:r>
      <w:r w:rsidRPr="00F25FE1">
        <w:rPr>
          <w:rFonts w:ascii="Arial" w:hAnsi="Arial" w:cs="Arial"/>
          <w:u w:val="single"/>
        </w:rPr>
        <w:t>transposer</w:t>
      </w:r>
      <w:r w:rsidRPr="00E73064">
        <w:rPr>
          <w:rFonts w:ascii="Arial" w:hAnsi="Arial" w:cs="Arial"/>
        </w:rPr>
        <w:t xml:space="preserve"> en droit luxembourgeois </w:t>
      </w:r>
      <w:r w:rsidRPr="00F25FE1">
        <w:rPr>
          <w:rFonts w:ascii="Arial" w:hAnsi="Arial" w:cs="Arial"/>
          <w:u w:val="single"/>
        </w:rPr>
        <w:t>la directive (UE) 2019/2162</w:t>
      </w:r>
      <w:r w:rsidRPr="00E73064">
        <w:rPr>
          <w:rFonts w:ascii="Arial" w:hAnsi="Arial" w:cs="Arial"/>
        </w:rPr>
        <w:t xml:space="preserve"> du Parlement europ</w:t>
      </w:r>
      <w:r>
        <w:rPr>
          <w:rFonts w:ascii="Arial" w:hAnsi="Arial" w:cs="Arial"/>
        </w:rPr>
        <w:t>é</w:t>
      </w:r>
      <w:r w:rsidRPr="00E73064">
        <w:rPr>
          <w:rFonts w:ascii="Arial" w:hAnsi="Arial" w:cs="Arial"/>
        </w:rPr>
        <w:t>en et du Conseil du 27 novembre 2019 concernant l'émission d'obligations garanties et la surveillance publique des obligations garanties</w:t>
      </w:r>
      <w:r w:rsidRPr="00E73064">
        <w:rPr>
          <w:rFonts w:ascii="Arial" w:hAnsi="Arial" w:cs="Arial"/>
          <w:lang w:val="fr-CH"/>
        </w:rPr>
        <w:t xml:space="preserve"> (ci-après « la directive (UE) 2019/2162 »)</w:t>
      </w:r>
      <w:r w:rsidR="00F25FE1">
        <w:rPr>
          <w:rFonts w:ascii="Arial" w:hAnsi="Arial" w:cs="Arial"/>
          <w:lang w:val="fr-CH"/>
        </w:rPr>
        <w:t xml:space="preserve"> et de </w:t>
      </w:r>
      <w:r w:rsidR="00F25FE1" w:rsidRPr="00F25FE1">
        <w:rPr>
          <w:rFonts w:ascii="Arial" w:hAnsi="Arial" w:cs="Arial"/>
          <w:u w:val="single"/>
          <w:lang w:val="fr-CH"/>
        </w:rPr>
        <w:t>mettre</w:t>
      </w:r>
      <w:r w:rsidRPr="00F25FE1">
        <w:rPr>
          <w:rFonts w:ascii="Arial" w:hAnsi="Arial" w:cs="Arial"/>
          <w:u w:val="single"/>
          <w:lang w:val="fr-CH"/>
        </w:rPr>
        <w:t xml:space="preserve"> en œuvre le</w:t>
      </w:r>
      <w:r w:rsidRPr="00F25FE1">
        <w:rPr>
          <w:rFonts w:ascii="Arial" w:hAnsi="Arial" w:cs="Arial"/>
          <w:u w:val="single"/>
        </w:rPr>
        <w:t xml:space="preserve"> règlement (UE) 2019/2160</w:t>
      </w:r>
      <w:r w:rsidRPr="00E73064">
        <w:rPr>
          <w:rFonts w:ascii="Arial" w:hAnsi="Arial" w:cs="Arial"/>
        </w:rPr>
        <w:t xml:space="preserve"> du Parlement européen et du Conseil du 27 novembre 2019 </w:t>
      </w:r>
      <w:r w:rsidRPr="00E73064">
        <w:rPr>
          <w:rFonts w:ascii="Arial" w:hAnsi="Arial" w:cs="Arial"/>
          <w:lang w:val="fr-CH"/>
        </w:rPr>
        <w:t>modifiant le règlement (UE) n° 575/2013 en ce qui concerne les expositions sous forme d’obligations garanties</w:t>
      </w:r>
      <w:r w:rsidRPr="00E73064" w:rsidDel="006B7C46">
        <w:rPr>
          <w:rFonts w:ascii="Arial" w:hAnsi="Arial" w:cs="Arial"/>
          <w:lang w:val="fr-CH"/>
        </w:rPr>
        <w:t xml:space="preserve"> </w:t>
      </w:r>
      <w:r w:rsidRPr="00E73064">
        <w:rPr>
          <w:rFonts w:ascii="Arial" w:hAnsi="Arial" w:cs="Arial"/>
          <w:lang w:val="fr-CH"/>
        </w:rPr>
        <w:t xml:space="preserve">(ci-après « le règlement (UE) 2019/2160 »). </w:t>
      </w:r>
    </w:p>
    <w:p w:rsidR="00E73064" w:rsidRDefault="00E73064" w:rsidP="00E73064">
      <w:pPr>
        <w:spacing w:after="0" w:line="240" w:lineRule="auto"/>
        <w:jc w:val="both"/>
        <w:rPr>
          <w:rFonts w:ascii="Arial" w:hAnsi="Arial" w:cs="Arial"/>
        </w:rPr>
      </w:pPr>
    </w:p>
    <w:p w:rsidR="00E73064" w:rsidRPr="00E73064" w:rsidRDefault="00E73064" w:rsidP="00E73064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E73064">
        <w:rPr>
          <w:rFonts w:ascii="Arial" w:hAnsi="Arial" w:cs="Arial"/>
        </w:rPr>
        <w:t xml:space="preserve">La </w:t>
      </w:r>
      <w:r w:rsidRPr="00F25FE1">
        <w:rPr>
          <w:rFonts w:ascii="Arial" w:hAnsi="Arial" w:cs="Arial"/>
          <w:u w:val="single"/>
        </w:rPr>
        <w:t>directive (UE) 2019/2162</w:t>
      </w:r>
      <w:r w:rsidRPr="00E73064">
        <w:rPr>
          <w:rFonts w:ascii="Arial" w:hAnsi="Arial" w:cs="Arial"/>
        </w:rPr>
        <w:t xml:space="preserve"> crée un cadre européen afin d’harmoniser le traitement des obligations garanties dans l’Union européenne. L’émission des lettres de gage </w:t>
      </w:r>
      <w:r w:rsidRPr="00E73064">
        <w:rPr>
          <w:rFonts w:ascii="Arial" w:hAnsi="Arial" w:cs="Arial"/>
          <w:lang w:val="fr-CH"/>
        </w:rPr>
        <w:t>est régie au Luxembourg</w:t>
      </w:r>
      <w:r w:rsidRPr="00E73064">
        <w:rPr>
          <w:rFonts w:ascii="Arial" w:hAnsi="Arial" w:cs="Arial"/>
        </w:rPr>
        <w:t xml:space="preserve"> </w:t>
      </w:r>
      <w:r w:rsidRPr="00E73064">
        <w:rPr>
          <w:rFonts w:ascii="Arial" w:hAnsi="Arial" w:cs="Arial"/>
          <w:lang w:val="fr-CH"/>
        </w:rPr>
        <w:t xml:space="preserve">par </w:t>
      </w:r>
      <w:r w:rsidRPr="00E73064">
        <w:rPr>
          <w:rFonts w:ascii="Arial" w:hAnsi="Arial" w:cs="Arial"/>
        </w:rPr>
        <w:t>la loi modifiée du 5 avril 1993 relative au secteur financier</w:t>
      </w:r>
      <w:r w:rsidRPr="00E73064">
        <w:rPr>
          <w:rFonts w:ascii="Arial" w:hAnsi="Arial" w:cs="Arial"/>
          <w:lang w:val="fr-CH"/>
        </w:rPr>
        <w:t xml:space="preserve">. </w:t>
      </w:r>
      <w:r w:rsidR="00F25FE1">
        <w:rPr>
          <w:rFonts w:ascii="Arial" w:hAnsi="Arial" w:cs="Arial"/>
          <w:lang w:val="fr-CH"/>
        </w:rPr>
        <w:t>L</w:t>
      </w:r>
      <w:r w:rsidRPr="00E73064">
        <w:rPr>
          <w:rFonts w:ascii="Arial" w:hAnsi="Arial" w:cs="Arial"/>
          <w:lang w:val="fr-CH"/>
        </w:rPr>
        <w:t xml:space="preserve">es dispositions de la loi du 5 avril 1993 déjà en vigueur sont similaires aux dispositions de la directive (UE) 2019/2162. </w:t>
      </w:r>
      <w:r w:rsidRPr="00E73064">
        <w:rPr>
          <w:rFonts w:ascii="Arial" w:hAnsi="Arial" w:cs="Arial"/>
        </w:rPr>
        <w:t xml:space="preserve">La directive (UE) 2019/2162 </w:t>
      </w:r>
      <w:r w:rsidRPr="00E73064">
        <w:rPr>
          <w:rFonts w:ascii="Arial" w:hAnsi="Arial" w:cs="Arial"/>
          <w:lang w:val="fr-CH"/>
        </w:rPr>
        <w:t xml:space="preserve">détermine des </w:t>
      </w:r>
      <w:r w:rsidRPr="001E3478">
        <w:rPr>
          <w:rFonts w:ascii="Arial" w:hAnsi="Arial" w:cs="Arial"/>
          <w:u w:val="single"/>
          <w:lang w:val="fr-CH"/>
        </w:rPr>
        <w:t>règles visant à protéger les investisseurs en ce qui concerne les exigences relatives à l’émission d’obligations garanties</w:t>
      </w:r>
      <w:r w:rsidRPr="00E73064">
        <w:rPr>
          <w:rFonts w:ascii="Arial" w:hAnsi="Arial" w:cs="Arial"/>
          <w:lang w:val="fr-CH"/>
        </w:rPr>
        <w:t>, les caractéristiques structurelles des obligations garanties, la surveillance publique des obligations garanties et les obligations en matière de publication en ce qui concerne les obligations garanties.</w:t>
      </w:r>
    </w:p>
    <w:p w:rsidR="00E73064" w:rsidRPr="00E73064" w:rsidRDefault="00E73064" w:rsidP="00E73064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E73064" w:rsidRPr="00E73064" w:rsidRDefault="00E73064" w:rsidP="00E73064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E73064">
        <w:rPr>
          <w:rFonts w:ascii="Arial" w:hAnsi="Arial" w:cs="Arial"/>
          <w:lang w:val="fr-CH"/>
        </w:rPr>
        <w:t>En premier lieu,</w:t>
      </w:r>
      <w:r w:rsidRPr="00E73064">
        <w:rPr>
          <w:rFonts w:ascii="Arial" w:hAnsi="Arial" w:cs="Arial"/>
        </w:rPr>
        <w:t xml:space="preserve"> le projet de loi vise à </w:t>
      </w:r>
      <w:r w:rsidRPr="001E3478">
        <w:rPr>
          <w:rFonts w:ascii="Arial" w:hAnsi="Arial" w:cs="Arial"/>
          <w:u w:val="single"/>
        </w:rPr>
        <w:t xml:space="preserve">faire coexister le régime luxembourgeois existant des lettres de gage avec le nouveau régime des obligations garanties </w:t>
      </w:r>
      <w:r w:rsidRPr="001E3478">
        <w:rPr>
          <w:rFonts w:ascii="Arial" w:hAnsi="Arial" w:cs="Arial"/>
          <w:u w:val="single"/>
          <w:lang w:val="fr-CH"/>
        </w:rPr>
        <w:t>régies par la directive (UE) 2019/2162</w:t>
      </w:r>
      <w:r w:rsidRPr="00E73064">
        <w:rPr>
          <w:rFonts w:ascii="Arial" w:hAnsi="Arial" w:cs="Arial"/>
          <w:lang w:val="fr-CH"/>
        </w:rPr>
        <w:t xml:space="preserve">, de sorte </w:t>
      </w:r>
      <w:r w:rsidRPr="00E73064">
        <w:rPr>
          <w:rFonts w:ascii="Arial" w:hAnsi="Arial" w:cs="Arial"/>
        </w:rPr>
        <w:t>que les obligations garanties réglementées au niveau européen constituent une sous-catégorie de lettres de gage luxembourgeoises qui respectent des conditions supplémentaires découlant de la directive.</w:t>
      </w:r>
      <w:r w:rsidRPr="00E73064">
        <w:rPr>
          <w:rFonts w:ascii="Arial" w:hAnsi="Arial" w:cs="Arial"/>
          <w:lang w:val="fr-CH"/>
        </w:rPr>
        <w:t xml:space="preserve"> Actuellement, l’émission des lettres de gage est régie par le cadre juridique luxembourgeois qui est déjà substantiellement proche de la directive (UE) 2019/2162 du Parlement européen et du Conseil. Les auteurs du projet de loi visent donc à </w:t>
      </w:r>
      <w:r w:rsidRPr="001E3478">
        <w:rPr>
          <w:rFonts w:ascii="Arial" w:hAnsi="Arial" w:cs="Arial"/>
          <w:u w:val="single"/>
          <w:lang w:val="fr-CH"/>
        </w:rPr>
        <w:t>garantir la continuité</w:t>
      </w:r>
      <w:r w:rsidRPr="00E73064">
        <w:rPr>
          <w:rFonts w:ascii="Arial" w:hAnsi="Arial" w:cs="Arial"/>
          <w:lang w:val="fr-CH"/>
        </w:rPr>
        <w:t xml:space="preserve"> avec les lois existantes. </w:t>
      </w:r>
    </w:p>
    <w:p w:rsidR="00E73064" w:rsidRDefault="00E73064" w:rsidP="00E73064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895247" w:rsidRPr="00F25FE1" w:rsidRDefault="00E73064" w:rsidP="00F25FE1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E73064">
        <w:rPr>
          <w:rFonts w:ascii="Arial" w:hAnsi="Arial" w:cs="Arial"/>
          <w:lang w:val="fr-CH"/>
        </w:rPr>
        <w:t xml:space="preserve">Le deuxième apport majeur du projet de loi est </w:t>
      </w:r>
      <w:r w:rsidRPr="001E3478">
        <w:rPr>
          <w:rFonts w:ascii="Arial" w:hAnsi="Arial" w:cs="Arial"/>
          <w:lang w:val="fr-CH"/>
        </w:rPr>
        <w:t>d’</w:t>
      </w:r>
      <w:r w:rsidRPr="001E3478">
        <w:rPr>
          <w:rFonts w:ascii="Arial" w:hAnsi="Arial" w:cs="Arial"/>
          <w:u w:val="single"/>
          <w:lang w:val="fr-CH"/>
        </w:rPr>
        <w:t>introduire une approche dite « produit »</w:t>
      </w:r>
      <w:r w:rsidRPr="00E73064">
        <w:rPr>
          <w:rFonts w:ascii="Arial" w:hAnsi="Arial" w:cs="Arial"/>
          <w:lang w:val="fr-CH"/>
        </w:rPr>
        <w:t xml:space="preserve">. L’émission des lettres de gage sera, en raison de l’approche « produit », soumise aux dispositions d’une loi séparée, entièrement dédiée à l’émission des lettres de gage. Par ailleurs, il est prévu </w:t>
      </w:r>
      <w:r w:rsidRPr="001E3478">
        <w:rPr>
          <w:rFonts w:ascii="Arial" w:hAnsi="Arial" w:cs="Arial"/>
          <w:lang w:val="fr-CH"/>
        </w:rPr>
        <w:t>d’</w:t>
      </w:r>
      <w:r w:rsidRPr="001E3478">
        <w:rPr>
          <w:rFonts w:ascii="Arial" w:hAnsi="Arial" w:cs="Arial"/>
          <w:u w:val="single"/>
          <w:lang w:val="fr-CH"/>
        </w:rPr>
        <w:t>ouvrir, dans le respect de conditions strictes, l’émission des lettres de gage aux établissements de crédit « universels »</w:t>
      </w:r>
      <w:r w:rsidRPr="00E73064">
        <w:rPr>
          <w:rFonts w:ascii="Arial" w:hAnsi="Arial" w:cs="Arial"/>
          <w:lang w:val="fr-CH"/>
        </w:rPr>
        <w:t xml:space="preserve">. </w:t>
      </w:r>
      <w:r w:rsidR="001E3478">
        <w:rPr>
          <w:rFonts w:ascii="Arial" w:hAnsi="Arial" w:cs="Arial"/>
          <w:lang w:val="fr-CH"/>
        </w:rPr>
        <w:t>L</w:t>
      </w:r>
      <w:r w:rsidRPr="00E73064">
        <w:rPr>
          <w:rFonts w:ascii="Arial" w:hAnsi="Arial" w:cs="Arial"/>
          <w:lang w:val="fr-CH"/>
        </w:rPr>
        <w:t xml:space="preserve">’émission des lettres de gage est limitée à présent aux seuls établissements </w:t>
      </w:r>
      <w:r w:rsidRPr="00E73064">
        <w:rPr>
          <w:rFonts w:ascii="Arial" w:hAnsi="Arial" w:cs="Arial"/>
        </w:rPr>
        <w:t>d’</w:t>
      </w:r>
      <w:r w:rsidR="001E3478">
        <w:rPr>
          <w:rFonts w:ascii="Arial" w:hAnsi="Arial" w:cs="Arial"/>
        </w:rPr>
        <w:t>é</w:t>
      </w:r>
      <w:r w:rsidRPr="00E73064">
        <w:rPr>
          <w:rFonts w:ascii="Arial" w:hAnsi="Arial" w:cs="Arial"/>
        </w:rPr>
        <w:t>mission de lettres de gage</w:t>
      </w:r>
      <w:r w:rsidRPr="00E73064">
        <w:rPr>
          <w:rFonts w:ascii="Arial" w:hAnsi="Arial" w:cs="Arial"/>
          <w:lang w:val="fr-CH"/>
        </w:rPr>
        <w:t xml:space="preserve"> « spécialisés ». A noter également que l’ouverture aux établissements de crédit luxembou</w:t>
      </w:r>
      <w:r w:rsidR="001E3478">
        <w:rPr>
          <w:rFonts w:ascii="Arial" w:hAnsi="Arial" w:cs="Arial"/>
          <w:lang w:val="fr-CH"/>
        </w:rPr>
        <w:t>r</w:t>
      </w:r>
      <w:r w:rsidRPr="00E73064">
        <w:rPr>
          <w:rFonts w:ascii="Arial" w:hAnsi="Arial" w:cs="Arial"/>
          <w:lang w:val="fr-CH"/>
        </w:rPr>
        <w:t xml:space="preserve">geois de type banque universelle n’aura pour autant pas comme effet d’abroger le régime des établissements </w:t>
      </w:r>
      <w:r w:rsidRPr="00E73064">
        <w:rPr>
          <w:rFonts w:ascii="Arial" w:hAnsi="Arial" w:cs="Arial"/>
        </w:rPr>
        <w:t>d’</w:t>
      </w:r>
      <w:r w:rsidR="001E3478">
        <w:rPr>
          <w:rFonts w:ascii="Arial" w:hAnsi="Arial" w:cs="Arial"/>
        </w:rPr>
        <w:t>é</w:t>
      </w:r>
      <w:r w:rsidRPr="00E73064">
        <w:rPr>
          <w:rFonts w:ascii="Arial" w:hAnsi="Arial" w:cs="Arial"/>
        </w:rPr>
        <w:t>mission de lettres de gage</w:t>
      </w:r>
      <w:r w:rsidRPr="00E73064">
        <w:rPr>
          <w:rFonts w:ascii="Arial" w:hAnsi="Arial" w:cs="Arial"/>
          <w:lang w:val="fr-CH"/>
        </w:rPr>
        <w:t xml:space="preserve"> « spécialisés ».</w:t>
      </w:r>
    </w:p>
    <w:sectPr w:rsidR="00895247" w:rsidRPr="00F25F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D4" w:rsidRDefault="00370ED4" w:rsidP="006E6CEA">
      <w:pPr>
        <w:spacing w:after="0" w:line="240" w:lineRule="auto"/>
      </w:pPr>
      <w:r>
        <w:separator/>
      </w:r>
    </w:p>
  </w:endnote>
  <w:endnote w:type="continuationSeparator" w:id="0">
    <w:p w:rsidR="00370ED4" w:rsidRDefault="00370ED4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="00115FB9" w:rsidRPr="00115FB9">
      <w:rPr>
        <w:rFonts w:ascii="Arial" w:hAnsi="Arial" w:cs="Arial"/>
        <w:noProof/>
        <w:sz w:val="20"/>
        <w:szCs w:val="20"/>
        <w:lang w:val="fr-FR"/>
      </w:rPr>
      <w:t>1</w:t>
    </w:r>
    <w:r w:rsidRPr="00B666AC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D4" w:rsidRDefault="00370ED4" w:rsidP="006E6CEA">
      <w:pPr>
        <w:spacing w:after="0" w:line="240" w:lineRule="auto"/>
      </w:pPr>
      <w:r>
        <w:separator/>
      </w:r>
    </w:p>
  </w:footnote>
  <w:footnote w:type="continuationSeparator" w:id="0">
    <w:p w:rsidR="00370ED4" w:rsidRDefault="00370ED4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C7F"/>
    <w:multiLevelType w:val="hybridMultilevel"/>
    <w:tmpl w:val="414C4F46"/>
    <w:lvl w:ilvl="0" w:tplc="C61EF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2" w15:restartNumberingAfterBreak="0">
    <w:nsid w:val="4DD63E5A"/>
    <w:multiLevelType w:val="hybridMultilevel"/>
    <w:tmpl w:val="DAF47942"/>
    <w:lvl w:ilvl="0" w:tplc="3C1ED58E">
      <w:start w:val="1"/>
      <w:numFmt w:val="decimal"/>
      <w:lvlText w:val="(%1)"/>
      <w:lvlJc w:val="left"/>
      <w:pPr>
        <w:ind w:left="2063" w:hanging="360"/>
      </w:pPr>
      <w:rPr>
        <w:rFonts w:ascii="Arial" w:eastAsia="Times New Roman" w:hAnsi="Arial" w:cs="Times New Roman"/>
      </w:rPr>
    </w:lvl>
    <w:lvl w:ilvl="1" w:tplc="140C0019">
      <w:start w:val="1"/>
      <w:numFmt w:val="lowerLetter"/>
      <w:lvlText w:val="%2."/>
      <w:lvlJc w:val="left"/>
      <w:pPr>
        <w:ind w:left="2292" w:hanging="360"/>
      </w:pPr>
    </w:lvl>
    <w:lvl w:ilvl="2" w:tplc="140C001B" w:tentative="1">
      <w:start w:val="1"/>
      <w:numFmt w:val="lowerRoman"/>
      <w:lvlText w:val="%3."/>
      <w:lvlJc w:val="right"/>
      <w:pPr>
        <w:ind w:left="3012" w:hanging="180"/>
      </w:pPr>
    </w:lvl>
    <w:lvl w:ilvl="3" w:tplc="140C000F" w:tentative="1">
      <w:start w:val="1"/>
      <w:numFmt w:val="decimal"/>
      <w:lvlText w:val="%4."/>
      <w:lvlJc w:val="left"/>
      <w:pPr>
        <w:ind w:left="3732" w:hanging="360"/>
      </w:pPr>
    </w:lvl>
    <w:lvl w:ilvl="4" w:tplc="140C0019" w:tentative="1">
      <w:start w:val="1"/>
      <w:numFmt w:val="lowerLetter"/>
      <w:lvlText w:val="%5."/>
      <w:lvlJc w:val="left"/>
      <w:pPr>
        <w:ind w:left="4452" w:hanging="360"/>
      </w:pPr>
    </w:lvl>
    <w:lvl w:ilvl="5" w:tplc="140C001B" w:tentative="1">
      <w:start w:val="1"/>
      <w:numFmt w:val="lowerRoman"/>
      <w:lvlText w:val="%6."/>
      <w:lvlJc w:val="right"/>
      <w:pPr>
        <w:ind w:left="5172" w:hanging="180"/>
      </w:pPr>
    </w:lvl>
    <w:lvl w:ilvl="6" w:tplc="140C000F" w:tentative="1">
      <w:start w:val="1"/>
      <w:numFmt w:val="decimal"/>
      <w:lvlText w:val="%7."/>
      <w:lvlJc w:val="left"/>
      <w:pPr>
        <w:ind w:left="5892" w:hanging="360"/>
      </w:pPr>
    </w:lvl>
    <w:lvl w:ilvl="7" w:tplc="140C0019" w:tentative="1">
      <w:start w:val="1"/>
      <w:numFmt w:val="lowerLetter"/>
      <w:lvlText w:val="%8."/>
      <w:lvlJc w:val="left"/>
      <w:pPr>
        <w:ind w:left="6612" w:hanging="360"/>
      </w:pPr>
    </w:lvl>
    <w:lvl w:ilvl="8" w:tplc="140C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680F55D0"/>
    <w:multiLevelType w:val="hybridMultilevel"/>
    <w:tmpl w:val="84BC8C58"/>
    <w:lvl w:ilvl="0" w:tplc="136A2590">
      <w:start w:val="1"/>
      <w:numFmt w:val="decimal"/>
      <w:lvlText w:val="(%1)"/>
      <w:lvlJc w:val="left"/>
      <w:pPr>
        <w:ind w:left="720" w:hanging="360"/>
      </w:pPr>
      <w:rPr>
        <w:rFonts w:hint="default"/>
        <w:color w:val="030303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86F81"/>
    <w:multiLevelType w:val="hybridMultilevel"/>
    <w:tmpl w:val="4FA27144"/>
    <w:lvl w:ilvl="0" w:tplc="38FA1A6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14AC5"/>
    <w:rsid w:val="0002273C"/>
    <w:rsid w:val="00026ECB"/>
    <w:rsid w:val="00032612"/>
    <w:rsid w:val="000369A2"/>
    <w:rsid w:val="000762ED"/>
    <w:rsid w:val="000864BE"/>
    <w:rsid w:val="000C1546"/>
    <w:rsid w:val="000C45E8"/>
    <w:rsid w:val="000E235A"/>
    <w:rsid w:val="000F1E3E"/>
    <w:rsid w:val="000F5978"/>
    <w:rsid w:val="0010111B"/>
    <w:rsid w:val="00105955"/>
    <w:rsid w:val="00115FB9"/>
    <w:rsid w:val="00124094"/>
    <w:rsid w:val="00124AF3"/>
    <w:rsid w:val="00170E30"/>
    <w:rsid w:val="0018433C"/>
    <w:rsid w:val="00192479"/>
    <w:rsid w:val="001A6A33"/>
    <w:rsid w:val="001B2D7E"/>
    <w:rsid w:val="001B6A4B"/>
    <w:rsid w:val="001E3478"/>
    <w:rsid w:val="0021314E"/>
    <w:rsid w:val="0022485B"/>
    <w:rsid w:val="0027387E"/>
    <w:rsid w:val="002750A4"/>
    <w:rsid w:val="002851C5"/>
    <w:rsid w:val="002C7D3F"/>
    <w:rsid w:val="002F0ADB"/>
    <w:rsid w:val="002F3B16"/>
    <w:rsid w:val="00304830"/>
    <w:rsid w:val="00306272"/>
    <w:rsid w:val="00317960"/>
    <w:rsid w:val="00327177"/>
    <w:rsid w:val="0033142D"/>
    <w:rsid w:val="00331A17"/>
    <w:rsid w:val="00370ED4"/>
    <w:rsid w:val="0038542E"/>
    <w:rsid w:val="0038630F"/>
    <w:rsid w:val="003A0496"/>
    <w:rsid w:val="003C230F"/>
    <w:rsid w:val="003C40C7"/>
    <w:rsid w:val="003D681E"/>
    <w:rsid w:val="003F2C1C"/>
    <w:rsid w:val="003F4C2F"/>
    <w:rsid w:val="003F5E23"/>
    <w:rsid w:val="00426CEF"/>
    <w:rsid w:val="004521CD"/>
    <w:rsid w:val="00457E34"/>
    <w:rsid w:val="004740F2"/>
    <w:rsid w:val="004826A7"/>
    <w:rsid w:val="00495E9F"/>
    <w:rsid w:val="004A1E95"/>
    <w:rsid w:val="004C6FDC"/>
    <w:rsid w:val="004D15E9"/>
    <w:rsid w:val="00502BCC"/>
    <w:rsid w:val="00504169"/>
    <w:rsid w:val="00507D1C"/>
    <w:rsid w:val="005969DE"/>
    <w:rsid w:val="005A2AF3"/>
    <w:rsid w:val="005A5799"/>
    <w:rsid w:val="005A57B6"/>
    <w:rsid w:val="005B1EAF"/>
    <w:rsid w:val="005B5C56"/>
    <w:rsid w:val="005D3D76"/>
    <w:rsid w:val="00612ABB"/>
    <w:rsid w:val="00630E07"/>
    <w:rsid w:val="00633300"/>
    <w:rsid w:val="00635F31"/>
    <w:rsid w:val="0064032F"/>
    <w:rsid w:val="00641CD1"/>
    <w:rsid w:val="006720BC"/>
    <w:rsid w:val="00680705"/>
    <w:rsid w:val="006829B8"/>
    <w:rsid w:val="006862A4"/>
    <w:rsid w:val="006B25FC"/>
    <w:rsid w:val="006E6CEA"/>
    <w:rsid w:val="006F1000"/>
    <w:rsid w:val="0070037F"/>
    <w:rsid w:val="007265A3"/>
    <w:rsid w:val="007344C3"/>
    <w:rsid w:val="00752348"/>
    <w:rsid w:val="0078608E"/>
    <w:rsid w:val="007942C7"/>
    <w:rsid w:val="007C160B"/>
    <w:rsid w:val="007D2A42"/>
    <w:rsid w:val="007D57D1"/>
    <w:rsid w:val="00802625"/>
    <w:rsid w:val="00835FB4"/>
    <w:rsid w:val="008555EA"/>
    <w:rsid w:val="00860053"/>
    <w:rsid w:val="00860178"/>
    <w:rsid w:val="00885ED7"/>
    <w:rsid w:val="00895247"/>
    <w:rsid w:val="008A6669"/>
    <w:rsid w:val="008C2635"/>
    <w:rsid w:val="008D2E3F"/>
    <w:rsid w:val="008E2CEC"/>
    <w:rsid w:val="0092477B"/>
    <w:rsid w:val="009278CA"/>
    <w:rsid w:val="009321B5"/>
    <w:rsid w:val="009468E2"/>
    <w:rsid w:val="00955836"/>
    <w:rsid w:val="00957D98"/>
    <w:rsid w:val="009603F8"/>
    <w:rsid w:val="009870DC"/>
    <w:rsid w:val="009964F5"/>
    <w:rsid w:val="009A704F"/>
    <w:rsid w:val="009C0799"/>
    <w:rsid w:val="009D3856"/>
    <w:rsid w:val="00A11C57"/>
    <w:rsid w:val="00A349A8"/>
    <w:rsid w:val="00A36E5C"/>
    <w:rsid w:val="00A51AEE"/>
    <w:rsid w:val="00A53E99"/>
    <w:rsid w:val="00A63AE6"/>
    <w:rsid w:val="00A82B03"/>
    <w:rsid w:val="00AA0D6B"/>
    <w:rsid w:val="00AA1189"/>
    <w:rsid w:val="00AB49F1"/>
    <w:rsid w:val="00AE06E0"/>
    <w:rsid w:val="00AF1990"/>
    <w:rsid w:val="00AF4F7B"/>
    <w:rsid w:val="00B03BD1"/>
    <w:rsid w:val="00B14BC7"/>
    <w:rsid w:val="00B204B5"/>
    <w:rsid w:val="00B24715"/>
    <w:rsid w:val="00B64464"/>
    <w:rsid w:val="00B666AC"/>
    <w:rsid w:val="00BA11CD"/>
    <w:rsid w:val="00BB6D4C"/>
    <w:rsid w:val="00BF64EB"/>
    <w:rsid w:val="00C00C43"/>
    <w:rsid w:val="00C016BD"/>
    <w:rsid w:val="00C05F8E"/>
    <w:rsid w:val="00C2146D"/>
    <w:rsid w:val="00C24E93"/>
    <w:rsid w:val="00C51C4E"/>
    <w:rsid w:val="00C53B16"/>
    <w:rsid w:val="00C626D7"/>
    <w:rsid w:val="00C75FE1"/>
    <w:rsid w:val="00C82E54"/>
    <w:rsid w:val="00C87372"/>
    <w:rsid w:val="00CE7012"/>
    <w:rsid w:val="00CE7957"/>
    <w:rsid w:val="00D00C76"/>
    <w:rsid w:val="00D1316B"/>
    <w:rsid w:val="00D275F6"/>
    <w:rsid w:val="00D30E7C"/>
    <w:rsid w:val="00D752D4"/>
    <w:rsid w:val="00DB0A9D"/>
    <w:rsid w:val="00DD4091"/>
    <w:rsid w:val="00E02A9D"/>
    <w:rsid w:val="00E072B7"/>
    <w:rsid w:val="00E14DA9"/>
    <w:rsid w:val="00E15212"/>
    <w:rsid w:val="00E27073"/>
    <w:rsid w:val="00E34CC1"/>
    <w:rsid w:val="00E3772A"/>
    <w:rsid w:val="00E526B7"/>
    <w:rsid w:val="00E73064"/>
    <w:rsid w:val="00E842D2"/>
    <w:rsid w:val="00E879C5"/>
    <w:rsid w:val="00E93021"/>
    <w:rsid w:val="00EB2727"/>
    <w:rsid w:val="00EB4F9B"/>
    <w:rsid w:val="00EC6AD2"/>
    <w:rsid w:val="00ED2F34"/>
    <w:rsid w:val="00ED5FB0"/>
    <w:rsid w:val="00F1276A"/>
    <w:rsid w:val="00F15F71"/>
    <w:rsid w:val="00F17DF9"/>
    <w:rsid w:val="00F25FE1"/>
    <w:rsid w:val="00F27547"/>
    <w:rsid w:val="00F4025E"/>
    <w:rsid w:val="00F60E44"/>
    <w:rsid w:val="00F826AC"/>
    <w:rsid w:val="00FC2511"/>
    <w:rsid w:val="00FD42D0"/>
    <w:rsid w:val="00FE1D6A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109630-01C8-4CE2-9266-94195054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7306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paragraph" w:styleId="Titre4">
    <w:name w:val="heading 4"/>
    <w:basedOn w:val="Normal"/>
    <w:next w:val="Normal"/>
    <w:link w:val="Titre4Car"/>
    <w:qFormat/>
    <w:rsid w:val="00306272"/>
    <w:pPr>
      <w:keepNext/>
      <w:tabs>
        <w:tab w:val="left" w:pos="851"/>
      </w:tabs>
      <w:spacing w:after="120" w:line="240" w:lineRule="auto"/>
      <w:jc w:val="center"/>
      <w:outlineLvl w:val="3"/>
    </w:pPr>
    <w:rPr>
      <w:rFonts w:ascii="Arial" w:eastAsia="Times New Roman" w:hAnsi="Arial"/>
      <w:b/>
      <w:bCs/>
      <w:sz w:val="20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306272"/>
    <w:pPr>
      <w:keepNext/>
      <w:tabs>
        <w:tab w:val="left" w:pos="1701"/>
      </w:tabs>
      <w:spacing w:after="120" w:line="240" w:lineRule="auto"/>
      <w:ind w:left="1701" w:hanging="1701"/>
      <w:jc w:val="both"/>
      <w:outlineLvl w:val="4"/>
    </w:pPr>
    <w:rPr>
      <w:rFonts w:ascii="Arial" w:eastAsia="Times New Roman" w:hAnsi="Arial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qFormat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1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1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iPriority w:val="99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qFormat/>
    <w:rsid w:val="00507D1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Titre1Car">
    <w:name w:val="Titre 1 Car"/>
    <w:link w:val="Titre1"/>
    <w:uiPriority w:val="9"/>
    <w:rsid w:val="00E7306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re4Car">
    <w:name w:val="Titre 4 Car"/>
    <w:link w:val="Titre4"/>
    <w:rsid w:val="00306272"/>
    <w:rPr>
      <w:rFonts w:ascii="Arial" w:eastAsia="Times New Roman" w:hAnsi="Arial"/>
      <w:b/>
      <w:bCs/>
      <w:lang w:val="fr-FR" w:eastAsia="fr-FR"/>
    </w:rPr>
  </w:style>
  <w:style w:type="character" w:customStyle="1" w:styleId="Titre5Car">
    <w:name w:val="Titre 5 Car"/>
    <w:link w:val="Titre5"/>
    <w:rsid w:val="00306272"/>
    <w:rPr>
      <w:rFonts w:ascii="Arial" w:eastAsia="Times New Roman" w:hAnsi="Arial"/>
      <w:b/>
      <w:bCs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306272"/>
  </w:style>
  <w:style w:type="paragraph" w:styleId="Textedebulles">
    <w:name w:val="Balloon Text"/>
    <w:basedOn w:val="Normal"/>
    <w:link w:val="TextedebullesCar"/>
    <w:uiPriority w:val="99"/>
    <w:semiHidden/>
    <w:unhideWhenUsed/>
    <w:rsid w:val="00306272"/>
    <w:pPr>
      <w:spacing w:after="0" w:line="240" w:lineRule="auto"/>
      <w:jc w:val="both"/>
    </w:pPr>
    <w:rPr>
      <w:rFonts w:ascii="Segoe UI" w:hAnsi="Segoe UI" w:cs="Segoe UI"/>
      <w:sz w:val="18"/>
      <w:szCs w:val="18"/>
      <w:lang w:val="en-US"/>
    </w:rPr>
  </w:style>
  <w:style w:type="character" w:customStyle="1" w:styleId="TextedebullesCar">
    <w:name w:val="Texte de bulles Car"/>
    <w:link w:val="Textedebulles"/>
    <w:uiPriority w:val="99"/>
    <w:semiHidden/>
    <w:rsid w:val="00306272"/>
    <w:rPr>
      <w:rFonts w:ascii="Segoe UI" w:hAnsi="Segoe UI" w:cs="Segoe UI"/>
      <w:sz w:val="18"/>
      <w:szCs w:val="18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306272"/>
    <w:rPr>
      <w:sz w:val="16"/>
      <w:szCs w:val="16"/>
    </w:rPr>
  </w:style>
  <w:style w:type="paragraph" w:styleId="Rvision">
    <w:name w:val="Revision"/>
    <w:hidden/>
    <w:uiPriority w:val="99"/>
    <w:semiHidden/>
    <w:rsid w:val="00306272"/>
    <w:pPr>
      <w:jc w:val="both"/>
    </w:pPr>
    <w:rPr>
      <w:sz w:val="22"/>
      <w:szCs w:val="22"/>
      <w:lang w:val="en-US" w:eastAsia="en-US"/>
    </w:rPr>
  </w:style>
  <w:style w:type="paragraph" w:customStyle="1" w:styleId="NormalrnCar">
    <w:name w:val="Normal (r.n.) Car"/>
    <w:basedOn w:val="Normal"/>
    <w:link w:val="NormalrnCarCar"/>
    <w:rsid w:val="00306272"/>
    <w:pPr>
      <w:tabs>
        <w:tab w:val="left" w:pos="851"/>
      </w:tabs>
      <w:spacing w:after="120" w:line="240" w:lineRule="auto"/>
      <w:ind w:hanging="425"/>
      <w:jc w:val="both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rfrenceloi">
    <w:name w:val="référence loi"/>
    <w:rsid w:val="00306272"/>
    <w:rPr>
      <w:rFonts w:ascii="Arial" w:eastAsia="Times New Roman" w:hAnsi="Arial" w:cs="Arial"/>
      <w:sz w:val="18"/>
      <w:szCs w:val="18"/>
      <w:lang w:val="fr-FR" w:eastAsia="fr-FR"/>
    </w:rPr>
  </w:style>
  <w:style w:type="paragraph" w:customStyle="1" w:styleId="Normalnumration">
    <w:name w:val="Normal énumération"/>
    <w:basedOn w:val="Normal"/>
    <w:link w:val="NormalnumrationCar"/>
    <w:rsid w:val="00306272"/>
    <w:pPr>
      <w:tabs>
        <w:tab w:val="left" w:pos="851"/>
        <w:tab w:val="left" w:pos="1276"/>
      </w:tabs>
      <w:spacing w:after="120" w:line="240" w:lineRule="auto"/>
      <w:ind w:left="1276" w:hanging="425"/>
      <w:jc w:val="both"/>
    </w:pPr>
    <w:rPr>
      <w:rFonts w:ascii="Arial" w:eastAsia="Times New Roman" w:hAnsi="Arial"/>
      <w:sz w:val="20"/>
      <w:szCs w:val="20"/>
      <w:lang w:val="fr-FR" w:eastAsia="fr-FR"/>
    </w:rPr>
  </w:style>
  <w:style w:type="paragraph" w:customStyle="1" w:styleId="Sousparanumration">
    <w:name w:val="Sous para énumération"/>
    <w:basedOn w:val="Normalnumration"/>
    <w:rsid w:val="00306272"/>
    <w:pPr>
      <w:tabs>
        <w:tab w:val="clear" w:pos="1276"/>
        <w:tab w:val="left" w:pos="1701"/>
      </w:tabs>
      <w:ind w:left="1701"/>
    </w:pPr>
  </w:style>
  <w:style w:type="character" w:customStyle="1" w:styleId="NormalrnCarCar">
    <w:name w:val="Normal (r.n.) Car Car"/>
    <w:link w:val="NormalrnCar"/>
    <w:locked/>
    <w:rsid w:val="00306272"/>
    <w:rPr>
      <w:rFonts w:ascii="Arial" w:eastAsia="Times New Roman" w:hAnsi="Arial"/>
      <w:lang w:val="fr-FR" w:eastAsia="fr-FR"/>
    </w:rPr>
  </w:style>
  <w:style w:type="character" w:customStyle="1" w:styleId="NormalnumrationCar">
    <w:name w:val="Normal énumération Car"/>
    <w:link w:val="Normalnumration"/>
    <w:locked/>
    <w:rsid w:val="00306272"/>
    <w:rPr>
      <w:rFonts w:ascii="Arial" w:eastAsia="Times New Roman" w:hAnsi="Arial"/>
      <w:lang w:val="fr-FR" w:eastAsia="fr-FR"/>
    </w:rPr>
  </w:style>
  <w:style w:type="character" w:customStyle="1" w:styleId="acopre">
    <w:name w:val="acopre"/>
    <w:basedOn w:val="Policepardfaut"/>
    <w:rsid w:val="00306272"/>
  </w:style>
  <w:style w:type="character" w:styleId="Accentuation">
    <w:name w:val="Emphasis"/>
    <w:uiPriority w:val="20"/>
    <w:qFormat/>
    <w:rsid w:val="00306272"/>
    <w:rPr>
      <w:i/>
      <w:iCs/>
    </w:rPr>
  </w:style>
  <w:style w:type="table" w:styleId="Grilledutableau">
    <w:name w:val="Table Grid"/>
    <w:basedOn w:val="TableauNormal"/>
    <w:uiPriority w:val="39"/>
    <w:rsid w:val="0030627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DP7822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7822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/sftpecos/Dossiers_parlementaires/7822/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AA1AD10-C1E2-4FE3-9D92-C67FC2B67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95215-8C36-4DFF-8E05-9085500F42E6}"/>
</file>

<file path=customXml/itemProps3.xml><?xml version="1.0" encoding="utf-8"?>
<ds:datastoreItem xmlns:ds="http://schemas.openxmlformats.org/officeDocument/2006/customXml" ds:itemID="{71FA1447-D8FF-4AAD-A436-4F55D7EBA762}"/>
</file>

<file path=customXml/itemProps4.xml><?xml version="1.0" encoding="utf-8"?>
<ds:datastoreItem xmlns:ds="http://schemas.openxmlformats.org/officeDocument/2006/customXml" ds:itemID="{4CF1561A-3F13-41DA-A9DB-6FE8A8FF8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3201</Characters>
  <Application>Microsoft Office Word</Application>
  <DocSecurity>4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