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39" w:rsidRPr="003A4B39" w:rsidRDefault="003A4B39" w:rsidP="003A4B39">
      <w:pPr>
        <w:tabs>
          <w:tab w:val="left" w:pos="44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fr-FR" w:eastAsia="fr-FR"/>
        </w:rPr>
      </w:pPr>
      <w:bookmarkStart w:id="0" w:name="_GoBack"/>
      <w:bookmarkEnd w:id="0"/>
      <w:r w:rsidRPr="003A4B39">
        <w:rPr>
          <w:rFonts w:ascii="Arial" w:eastAsia="Times New Roman" w:hAnsi="Arial" w:cs="Arial"/>
          <w:b/>
          <w:bCs/>
          <w:sz w:val="28"/>
          <w:szCs w:val="28"/>
          <w:lang w:val="fr-FR" w:eastAsia="fr-FR"/>
        </w:rPr>
        <w:t>N° 7773</w:t>
      </w: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fr-FR" w:eastAsia="fr-FR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fr-FR" w:eastAsia="fr-FR"/>
        </w:rPr>
      </w:pPr>
      <w:r w:rsidRPr="003A4B39">
        <w:rPr>
          <w:rFonts w:ascii="Arial" w:eastAsia="Times New Roman" w:hAnsi="Arial" w:cs="Arial"/>
          <w:bCs/>
          <w:sz w:val="28"/>
          <w:szCs w:val="28"/>
          <w:lang w:val="fr-FR" w:eastAsia="fr-FR"/>
        </w:rPr>
        <w:t>CHAMBRE DES DÉPUTÉS</w:t>
      </w: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fr-FR" w:eastAsia="fr-FR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fr-FR" w:eastAsia="fr-FR"/>
        </w:rPr>
      </w:pPr>
      <w:r w:rsidRPr="003A4B39">
        <w:rPr>
          <w:rFonts w:ascii="Arial" w:eastAsia="Times New Roman" w:hAnsi="Arial" w:cs="Arial"/>
          <w:bCs/>
          <w:sz w:val="20"/>
          <w:szCs w:val="20"/>
          <w:lang w:val="fr-FR" w:eastAsia="fr-FR"/>
        </w:rPr>
        <w:t>Session ordinaire 2020-2021</w:t>
      </w:r>
    </w:p>
    <w:p w:rsidR="003A4B39" w:rsidRPr="003A4B39" w:rsidRDefault="003A4B39" w:rsidP="003A4B39">
      <w:pPr>
        <w:pBdr>
          <w:bottom w:val="thinThickLargeGap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76"/>
          <w:sz w:val="36"/>
          <w:szCs w:val="36"/>
          <w:lang w:val="fr-FR" w:eastAsia="fr-FR"/>
        </w:rPr>
      </w:pPr>
      <w:r w:rsidRPr="003A4B39">
        <w:rPr>
          <w:rFonts w:ascii="Arial" w:eastAsia="Times New Roman" w:hAnsi="Arial" w:cs="Arial"/>
          <w:b/>
          <w:bCs/>
          <w:spacing w:val="76"/>
          <w:sz w:val="36"/>
          <w:szCs w:val="36"/>
          <w:lang w:val="fr-FR" w:eastAsia="fr-FR"/>
        </w:rPr>
        <w:t>PROJET DE LOI</w:t>
      </w: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</w:pPr>
    </w:p>
    <w:p w:rsidR="003A4B39" w:rsidRPr="003A4B39" w:rsidRDefault="003A4B39" w:rsidP="003A4B39">
      <w:pPr>
        <w:spacing w:after="0" w:line="240" w:lineRule="auto"/>
        <w:jc w:val="center"/>
        <w:rPr>
          <w:rFonts w:ascii="Arial" w:eastAsia="Times New Roman" w:hAnsi="Arial" w:cs="Arial"/>
          <w:b/>
          <w:lang w:val="fr-FR" w:eastAsia="fr-FR"/>
        </w:rPr>
      </w:pPr>
      <w:r w:rsidRPr="003A4B39">
        <w:rPr>
          <w:rFonts w:ascii="Arial" w:eastAsia="Times New Roman" w:hAnsi="Arial" w:cs="Arial"/>
          <w:b/>
          <w:lang w:val="fr-FR" w:eastAsia="fr-FR"/>
        </w:rPr>
        <w:t>portant approbation de l’Accord relatif à la participation de la République de Croatie à l’Espace économique européen, fait à Bruxelles, le 11 avril 2014</w:t>
      </w: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lb-LU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lb-LU"/>
        </w:rPr>
      </w:pP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lb-LU"/>
        </w:rPr>
      </w:pPr>
      <w:r w:rsidRPr="003A4B39">
        <w:rPr>
          <w:rFonts w:ascii="Arial" w:eastAsia="Times New Roman" w:hAnsi="Arial" w:cs="Arial"/>
          <w:b/>
          <w:bCs/>
          <w:lang w:val="fr-FR" w:eastAsia="lb-LU"/>
        </w:rPr>
        <w:t>* * *</w:t>
      </w:r>
    </w:p>
    <w:p w:rsidR="003A4B39" w:rsidRPr="003A4B39" w:rsidRDefault="003A4B39" w:rsidP="003A4B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</w:p>
    <w:p w:rsidR="003A4B39" w:rsidRPr="003A4B39" w:rsidRDefault="003A4B39" w:rsidP="003A4B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B39">
        <w:rPr>
          <w:rFonts w:ascii="Arial" w:hAnsi="Arial" w:cs="Arial"/>
          <w:b/>
          <w:bCs/>
          <w:sz w:val="24"/>
          <w:szCs w:val="24"/>
        </w:rPr>
        <w:t>RESUME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>Le projet de loi sous rubrique vise à faire approuver par la Chambre des Députés l’Accord relatif à la participation de la République de Croatie à l’Espace économique européen, fait à Bruxelles, le 11 avril 2014. Cette démarche viendra parfaire l’intégration de la Croatie dans le marché unique européen qui est accessible à tous les membres de l’Union européenne (UE) et des États non-membres participant dans l’EEE. Ayant rejoint l’UE depuis le 1</w:t>
      </w:r>
      <w:r w:rsidRPr="003A4B39">
        <w:rPr>
          <w:rFonts w:ascii="Arial" w:hAnsi="Arial" w:cs="Arial"/>
          <w:vertAlign w:val="superscript"/>
          <w:lang w:val="fr-FR"/>
        </w:rPr>
        <w:t>er</w:t>
      </w:r>
      <w:r w:rsidRPr="003A4B39">
        <w:rPr>
          <w:rFonts w:ascii="Arial" w:hAnsi="Arial" w:cs="Arial"/>
          <w:lang w:val="fr-FR"/>
        </w:rPr>
        <w:t xml:space="preserve"> janvier 2013, la Croatie est le dernier pays à avoir demandé la participation à l’EEE.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La Commission européenne a négocié, au nom de l’UE et de ses États membres, avec l’Islande, la Principauté de Liechtenstein et le Royaume de Norvège l’Accord relatif à la participation de la République de Croatie à l’Espace économique européen. Cet Accord a été signé à Bruxelles, le 11 avril 2014.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Le paquet législatif, appelé encore Acte final, portant élargissement de l’EEE est composé par: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– L’Accord relatif à la participation de la République de Croatie à l’Espace économique européen et ses annexes A et B (qui en font partie intégrante) ;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– Six déclarations communes annexées à l’Acte final et adoptées par les Parties contractantes actuelles et futures et une déclaration commune générale des États membres de l’AELE.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En outre, il convient de rappeler que sont annexés à l’Acte final trois protocoles additionnels, dont deux avec la Norvège et un avec l’Islande, dont les Parties contractantes ont pris note, à savoir :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a) un protocole additionnel à l’accord entre le Royaume de Norvège et l’Union européenne concernant un mécanisme financier norvégien pour la période 2009-2014 consécutif à la participation de la République de Croatie à l’Espace économique européen ;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b) un protocole additionnel à l’accord entre la Communauté économique européenne et l’Islande consécutif à l’adhésion de la République de Croatie à l’Union européenne ; et </w:t>
      </w:r>
    </w:p>
    <w:p w:rsidR="003A4B39" w:rsidRPr="003A4B39" w:rsidRDefault="003A4B39" w:rsidP="003A4B39">
      <w:pPr>
        <w:jc w:val="both"/>
        <w:rPr>
          <w:rFonts w:ascii="Arial" w:hAnsi="Arial" w:cs="Arial"/>
          <w:lang w:val="fr-FR"/>
        </w:rPr>
      </w:pPr>
      <w:r w:rsidRPr="003A4B39">
        <w:rPr>
          <w:rFonts w:ascii="Arial" w:hAnsi="Arial" w:cs="Arial"/>
          <w:lang w:val="fr-FR"/>
        </w:rPr>
        <w:t xml:space="preserve">c) un protocole additionnel à l’accord entre la Communauté économique européenne et le Royaume de Norvège consécutif à l’adhésion de la République de Croatie à l’Union européenne. </w:t>
      </w:r>
    </w:p>
    <w:p w:rsidR="003A4B39" w:rsidRPr="003A4B39" w:rsidRDefault="003A4B39">
      <w:pPr>
        <w:rPr>
          <w:lang w:val="fr-FR"/>
        </w:rPr>
      </w:pPr>
    </w:p>
    <w:sectPr w:rsidR="003A4B39" w:rsidRPr="003A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B39"/>
    <w:rsid w:val="002A2FCE"/>
    <w:rsid w:val="003A4B39"/>
    <w:rsid w:val="005E7478"/>
    <w:rsid w:val="00C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F250D5-FB40-44E2-8C04-9C585529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DP7773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7773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/sftpecos/Dossiers_parlementaires/7773/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86A008DD-B3CA-4571-9528-B12DE9D37EAA}"/>
</file>

<file path=customXml/itemProps2.xml><?xml version="1.0" encoding="utf-8"?>
<ds:datastoreItem xmlns:ds="http://schemas.openxmlformats.org/officeDocument/2006/customXml" ds:itemID="{7349C7A3-517C-4E86-9DB3-2610742529D0}"/>
</file>

<file path=customXml/itemProps3.xml><?xml version="1.0" encoding="utf-8"?>
<ds:datastoreItem xmlns:ds="http://schemas.openxmlformats.org/officeDocument/2006/customXml" ds:itemID="{F63384A9-EC14-45F0-ACAF-E72074785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Rita BRORS</dc:creator>
  <cp:keywords/>
  <dc:description/>
  <cp:lastModifiedBy>SYSTEM</cp:lastModifiedBy>
  <cp:revision>2</cp:revision>
  <dcterms:created xsi:type="dcterms:W3CDTF">2024-02-21T07:58:00Z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