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2EE" w:rsidRPr="00A902EE" w:rsidRDefault="00A902EE" w:rsidP="00A902EE">
      <w:pPr>
        <w:jc w:val="center"/>
        <w:rPr>
          <w:rFonts w:cs="Arial"/>
          <w:b/>
        </w:rPr>
      </w:pPr>
      <w:bookmarkStart w:id="0" w:name="_GoBack"/>
      <w:bookmarkEnd w:id="0"/>
      <w:r w:rsidRPr="00A902EE">
        <w:rPr>
          <w:rFonts w:cs="Arial"/>
          <w:b/>
        </w:rPr>
        <w:t>N° 7</w:t>
      </w:r>
      <w:r w:rsidR="00934238">
        <w:rPr>
          <w:rFonts w:cs="Arial"/>
          <w:b/>
        </w:rPr>
        <w:t>7</w:t>
      </w:r>
      <w:r w:rsidR="001C3B06">
        <w:rPr>
          <w:rFonts w:cs="Arial"/>
          <w:b/>
        </w:rPr>
        <w:t>60</w:t>
      </w:r>
    </w:p>
    <w:p w:rsidR="00A902EE" w:rsidRPr="00A902EE" w:rsidRDefault="00A902EE" w:rsidP="00A902EE">
      <w:pPr>
        <w:jc w:val="center"/>
        <w:rPr>
          <w:rFonts w:cs="Arial"/>
        </w:rPr>
      </w:pPr>
    </w:p>
    <w:p w:rsidR="00A902EE" w:rsidRPr="00A902EE" w:rsidRDefault="00A902EE" w:rsidP="00A902EE">
      <w:pPr>
        <w:jc w:val="center"/>
        <w:rPr>
          <w:rFonts w:cs="Arial"/>
        </w:rPr>
      </w:pPr>
      <w:r w:rsidRPr="00A902EE">
        <w:rPr>
          <w:rFonts w:cs="Arial"/>
        </w:rPr>
        <w:t>CHAMBRE DES DEPUTES</w:t>
      </w:r>
    </w:p>
    <w:p w:rsidR="00A902EE" w:rsidRPr="00A902EE" w:rsidRDefault="00A902EE" w:rsidP="00A902EE">
      <w:pPr>
        <w:jc w:val="center"/>
        <w:rPr>
          <w:rFonts w:cs="Arial"/>
        </w:rPr>
      </w:pPr>
    </w:p>
    <w:p w:rsidR="00A902EE" w:rsidRPr="00A902EE" w:rsidRDefault="00A902EE" w:rsidP="00A902EE">
      <w:pPr>
        <w:jc w:val="center"/>
        <w:rPr>
          <w:rFonts w:cs="Arial"/>
        </w:rPr>
      </w:pPr>
      <w:r w:rsidRPr="00A902EE">
        <w:rPr>
          <w:rFonts w:cs="Arial"/>
        </w:rPr>
        <w:t>Session ordinaire 20</w:t>
      </w:r>
      <w:r w:rsidR="0022389E">
        <w:rPr>
          <w:rFonts w:cs="Arial"/>
        </w:rPr>
        <w:t>20</w:t>
      </w:r>
      <w:r w:rsidRPr="00A902EE">
        <w:rPr>
          <w:rFonts w:cs="Arial"/>
        </w:rPr>
        <w:t>-20</w:t>
      </w:r>
      <w:r w:rsidR="00DD4306">
        <w:rPr>
          <w:rFonts w:cs="Arial"/>
        </w:rPr>
        <w:t>2</w:t>
      </w:r>
      <w:r w:rsidR="0022389E">
        <w:rPr>
          <w:rFonts w:cs="Arial"/>
        </w:rPr>
        <w:t>1</w:t>
      </w:r>
    </w:p>
    <w:p w:rsidR="00A902EE" w:rsidRPr="00A902EE" w:rsidRDefault="00A902EE" w:rsidP="00A902EE">
      <w:pPr>
        <w:jc w:val="center"/>
        <w:rPr>
          <w:rFonts w:cs="Arial"/>
        </w:rPr>
      </w:pPr>
    </w:p>
    <w:p w:rsidR="00755A13" w:rsidRPr="00A902EE" w:rsidRDefault="00755A13" w:rsidP="00CA1625">
      <w:pPr>
        <w:pBdr>
          <w:bottom w:val="thinThickLargeGap" w:sz="24" w:space="1" w:color="auto"/>
        </w:pBdr>
        <w:autoSpaceDE w:val="0"/>
        <w:autoSpaceDN w:val="0"/>
        <w:adjustRightInd w:val="0"/>
        <w:rPr>
          <w:rFonts w:eastAsia="Times New Roman" w:cs="Arial"/>
          <w:b/>
          <w:bCs/>
          <w:lang w:val="fr-FR" w:eastAsia="fr-FR"/>
        </w:rPr>
      </w:pPr>
    </w:p>
    <w:p w:rsidR="001047EA" w:rsidRDefault="00DE2DA7" w:rsidP="00DE2DA7">
      <w:pPr>
        <w:rPr>
          <w:rFonts w:eastAsia="Times New Roman" w:cs="Arial"/>
          <w:b/>
          <w:color w:val="000000"/>
          <w:lang w:val="fr-FR" w:eastAsia="fr-FR"/>
        </w:rPr>
      </w:pPr>
      <w:r w:rsidRPr="00DE2DA7">
        <w:rPr>
          <w:rFonts w:eastAsia="Times New Roman" w:cs="Arial"/>
          <w:b/>
          <w:color w:val="000000"/>
          <w:lang w:val="fr-FR" w:eastAsia="fr-FR"/>
        </w:rPr>
        <w:t>Projet de loi portant modification de la loi modifiée du 7 mars 1980 sur l’organisation judiciaire en vue de l’organisation de l’Office des procureurs européens délégués</w:t>
      </w:r>
    </w:p>
    <w:p w:rsidR="00764BD4" w:rsidRDefault="00764BD4" w:rsidP="00DE2DA7">
      <w:pPr>
        <w:rPr>
          <w:rFonts w:eastAsia="Times New Roman" w:cs="Arial"/>
          <w:b/>
          <w:color w:val="000000"/>
          <w:lang w:val="fr-FR" w:eastAsia="fr-FR"/>
        </w:rPr>
      </w:pPr>
    </w:p>
    <w:p w:rsidR="00004C77" w:rsidRPr="00934238" w:rsidRDefault="00A902EE" w:rsidP="00934238">
      <w:pPr>
        <w:jc w:val="center"/>
        <w:rPr>
          <w:rFonts w:eastAsia="Times New Roman" w:cs="Arial"/>
          <w:b/>
          <w:color w:val="000000"/>
          <w:lang w:eastAsia="fr-FR"/>
        </w:rPr>
      </w:pPr>
      <w:r w:rsidRPr="00A902EE">
        <w:rPr>
          <w:rFonts w:eastAsia="Times New Roman" w:cs="Arial"/>
          <w:b/>
          <w:color w:val="000000"/>
          <w:lang w:eastAsia="fr-FR"/>
        </w:rPr>
        <w:t>***</w:t>
      </w:r>
    </w:p>
    <w:p w:rsidR="00A902EE" w:rsidRDefault="00A902EE" w:rsidP="00A902EE">
      <w:pPr>
        <w:jc w:val="center"/>
        <w:rPr>
          <w:rFonts w:eastAsia="Times New Roman" w:cs="Arial"/>
          <w:b/>
          <w:lang w:eastAsia="fr-FR"/>
        </w:rPr>
      </w:pPr>
      <w:r w:rsidRPr="00A902EE">
        <w:rPr>
          <w:rFonts w:eastAsia="Times New Roman" w:cs="Arial"/>
          <w:b/>
          <w:lang w:eastAsia="fr-FR"/>
        </w:rPr>
        <w:t xml:space="preserve">Rapport de la </w:t>
      </w:r>
      <w:r w:rsidRPr="00A846C0">
        <w:rPr>
          <w:rFonts w:eastAsia="Times New Roman" w:cs="Arial"/>
          <w:b/>
          <w:lang w:eastAsia="fr-FR"/>
        </w:rPr>
        <w:t>Commission</w:t>
      </w:r>
      <w:r w:rsidRPr="00A902EE">
        <w:rPr>
          <w:rFonts w:eastAsia="Times New Roman" w:cs="Arial"/>
          <w:b/>
          <w:lang w:eastAsia="fr-FR"/>
        </w:rPr>
        <w:t xml:space="preserve"> de la Justice</w:t>
      </w:r>
    </w:p>
    <w:p w:rsidR="00C82CEA" w:rsidRPr="00A902EE" w:rsidRDefault="00C82CEA" w:rsidP="00A902EE">
      <w:pPr>
        <w:jc w:val="center"/>
        <w:rPr>
          <w:rFonts w:eastAsia="Times New Roman" w:cs="Arial"/>
          <w:b/>
          <w:lang w:eastAsia="fr-FR"/>
        </w:rPr>
      </w:pPr>
      <w:r w:rsidRPr="002510E9">
        <w:rPr>
          <w:rFonts w:eastAsia="Times New Roman" w:cs="Arial"/>
          <w:b/>
          <w:lang w:eastAsia="fr-FR"/>
        </w:rPr>
        <w:t>(</w:t>
      </w:r>
      <w:r w:rsidR="002A7DFB" w:rsidRPr="002510E9">
        <w:rPr>
          <w:rFonts w:eastAsia="Times New Roman" w:cs="Arial"/>
          <w:b/>
          <w:lang w:eastAsia="fr-FR"/>
        </w:rPr>
        <w:t>15</w:t>
      </w:r>
      <w:r w:rsidRPr="002510E9">
        <w:rPr>
          <w:rFonts w:eastAsia="Times New Roman" w:cs="Arial"/>
          <w:b/>
          <w:lang w:eastAsia="fr-FR"/>
        </w:rPr>
        <w:t>.</w:t>
      </w:r>
      <w:r w:rsidR="00B040DA" w:rsidRPr="002510E9">
        <w:rPr>
          <w:rFonts w:eastAsia="Times New Roman" w:cs="Arial"/>
          <w:b/>
          <w:lang w:eastAsia="fr-FR"/>
        </w:rPr>
        <w:t>3</w:t>
      </w:r>
      <w:r w:rsidRPr="002510E9">
        <w:rPr>
          <w:rFonts w:eastAsia="Times New Roman" w:cs="Arial"/>
          <w:b/>
          <w:lang w:eastAsia="fr-FR"/>
        </w:rPr>
        <w:t>.20</w:t>
      </w:r>
      <w:r w:rsidR="009E4751" w:rsidRPr="002510E9">
        <w:rPr>
          <w:rFonts w:eastAsia="Times New Roman" w:cs="Arial"/>
          <w:b/>
          <w:lang w:eastAsia="fr-FR"/>
        </w:rPr>
        <w:t>2</w:t>
      </w:r>
      <w:r w:rsidR="00B040DA" w:rsidRPr="002510E9">
        <w:rPr>
          <w:rFonts w:eastAsia="Times New Roman" w:cs="Arial"/>
          <w:b/>
          <w:lang w:eastAsia="fr-FR"/>
        </w:rPr>
        <w:t>1</w:t>
      </w:r>
      <w:r w:rsidRPr="002510E9">
        <w:rPr>
          <w:rFonts w:eastAsia="Times New Roman" w:cs="Arial"/>
          <w:b/>
          <w:lang w:eastAsia="fr-FR"/>
        </w:rPr>
        <w:t>)</w:t>
      </w:r>
    </w:p>
    <w:p w:rsidR="00A902EE" w:rsidRPr="00A902EE" w:rsidRDefault="00A902EE" w:rsidP="00A902EE">
      <w:pPr>
        <w:autoSpaceDE w:val="0"/>
        <w:autoSpaceDN w:val="0"/>
        <w:adjustRightInd w:val="0"/>
        <w:jc w:val="center"/>
        <w:rPr>
          <w:rFonts w:eastAsia="Times New Roman" w:cs="Arial"/>
          <w:bCs/>
          <w:lang w:eastAsia="fr-FR"/>
        </w:rPr>
      </w:pPr>
    </w:p>
    <w:p w:rsidR="00A902EE" w:rsidRPr="001C2D04" w:rsidRDefault="00A902EE" w:rsidP="00A902EE">
      <w:pPr>
        <w:autoSpaceDE w:val="0"/>
        <w:autoSpaceDN w:val="0"/>
        <w:adjustRightInd w:val="0"/>
        <w:rPr>
          <w:rFonts w:eastAsia="Times New Roman" w:cs="Arial"/>
          <w:lang w:val="fr-FR" w:eastAsia="fr-FR"/>
        </w:rPr>
      </w:pPr>
      <w:r w:rsidRPr="00A902EE">
        <w:rPr>
          <w:rFonts w:eastAsia="Times New Roman" w:cs="Arial"/>
          <w:lang w:eastAsia="fr-FR"/>
        </w:rPr>
        <w:t>La Commission de la Justice se compose de</w:t>
      </w:r>
      <w:r w:rsidRPr="00A902EE">
        <w:rPr>
          <w:rFonts w:eastAsia="Times New Roman" w:cs="Arial"/>
          <w:lang w:val="fr-FR" w:eastAsia="fr-FR"/>
        </w:rPr>
        <w:t> </w:t>
      </w:r>
      <w:r w:rsidRPr="00A902EE">
        <w:rPr>
          <w:rFonts w:eastAsia="Times New Roman" w:cs="Arial"/>
          <w:lang w:eastAsia="fr-FR"/>
        </w:rPr>
        <w:t xml:space="preserve">: </w:t>
      </w:r>
      <w:r w:rsidRPr="00A902EE">
        <w:rPr>
          <w:rFonts w:eastAsia="Times New Roman" w:cs="Arial"/>
          <w:lang w:val="fr-FR" w:eastAsia="fr-FR"/>
        </w:rPr>
        <w:t xml:space="preserve">M. Charles MARGUE, </w:t>
      </w:r>
      <w:r w:rsidRPr="00AF0DFA">
        <w:rPr>
          <w:rFonts w:eastAsia="Times New Roman" w:cs="Arial"/>
          <w:lang w:val="fr-FR" w:eastAsia="fr-FR"/>
        </w:rPr>
        <w:t>Président</w:t>
      </w:r>
      <w:r w:rsidR="00736AA5">
        <w:rPr>
          <w:rFonts w:eastAsia="Times New Roman" w:cs="Arial"/>
          <w:lang w:val="fr-FR" w:eastAsia="fr-FR"/>
        </w:rPr>
        <w:t>;</w:t>
      </w:r>
      <w:r w:rsidR="00B040DA">
        <w:rPr>
          <w:rFonts w:eastAsia="Times New Roman" w:cs="Arial"/>
          <w:lang w:val="fr-FR" w:eastAsia="fr-FR"/>
        </w:rPr>
        <w:t xml:space="preserve"> </w:t>
      </w:r>
      <w:r w:rsidR="00B040DA" w:rsidRPr="00A902EE">
        <w:rPr>
          <w:rFonts w:eastAsia="Times New Roman" w:cs="Arial"/>
          <w:lang w:val="fr-FR" w:eastAsia="fr-FR"/>
        </w:rPr>
        <w:t>Mme Stéphanie EMPAIN</w:t>
      </w:r>
      <w:r w:rsidR="00934238" w:rsidRPr="00934238">
        <w:rPr>
          <w:rFonts w:eastAsia="Times New Roman" w:cs="Arial"/>
          <w:lang w:val="fr-FR" w:eastAsia="fr-FR"/>
        </w:rPr>
        <w:t>,</w:t>
      </w:r>
      <w:r w:rsidR="00655FF3" w:rsidRPr="00A902EE">
        <w:rPr>
          <w:rFonts w:eastAsia="Times New Roman" w:cs="Arial"/>
          <w:lang w:val="fr-FR" w:eastAsia="fr-FR"/>
        </w:rPr>
        <w:t xml:space="preserve"> </w:t>
      </w:r>
      <w:r w:rsidR="00655FF3">
        <w:rPr>
          <w:rFonts w:eastAsia="Times New Roman" w:cs="Arial"/>
          <w:lang w:val="fr-FR" w:eastAsia="fr-FR"/>
        </w:rPr>
        <w:t>Rapport</w:t>
      </w:r>
      <w:r w:rsidR="00934238">
        <w:rPr>
          <w:rFonts w:eastAsia="Times New Roman" w:cs="Arial"/>
          <w:lang w:val="fr-FR" w:eastAsia="fr-FR"/>
        </w:rPr>
        <w:t>eur</w:t>
      </w:r>
      <w:r w:rsidR="00655FF3">
        <w:rPr>
          <w:rFonts w:eastAsia="Times New Roman" w:cs="Arial"/>
          <w:lang w:val="fr-FR" w:eastAsia="fr-FR"/>
        </w:rPr>
        <w:t xml:space="preserve"> ; </w:t>
      </w:r>
      <w:r w:rsidRPr="00A902EE">
        <w:rPr>
          <w:rFonts w:eastAsia="Times New Roman" w:cs="Arial"/>
          <w:lang w:eastAsia="fr-FR"/>
        </w:rPr>
        <w:t xml:space="preserve">Mme </w:t>
      </w:r>
      <w:r w:rsidRPr="00A902EE">
        <w:rPr>
          <w:rFonts w:cs="Arial"/>
        </w:rPr>
        <w:t>Diane ADEHM</w:t>
      </w:r>
      <w:r w:rsidRPr="00A902EE">
        <w:rPr>
          <w:rFonts w:eastAsia="Times New Roman" w:cs="Arial"/>
          <w:lang w:val="fr-FR" w:eastAsia="fr-FR"/>
        </w:rPr>
        <w:t>, MM. Guy ARENDT, François BENOY</w:t>
      </w:r>
      <w:r w:rsidRPr="00A902EE">
        <w:rPr>
          <w:lang w:val="fr-FR"/>
        </w:rPr>
        <w:t xml:space="preserve">, </w:t>
      </w:r>
      <w:r w:rsidRPr="00A902EE">
        <w:rPr>
          <w:rFonts w:eastAsia="Times New Roman" w:cs="Arial"/>
          <w:lang w:val="fr-FR" w:eastAsia="fr-FR"/>
        </w:rPr>
        <w:t xml:space="preserve">Dan BIANCALANA, </w:t>
      </w:r>
      <w:r w:rsidR="00934238">
        <w:rPr>
          <w:rFonts w:eastAsia="Times New Roman" w:cs="Arial"/>
          <w:lang w:val="fr-FR" w:eastAsia="fr-FR"/>
        </w:rPr>
        <w:t xml:space="preserve">MM. </w:t>
      </w:r>
      <w:r w:rsidRPr="00A902EE">
        <w:rPr>
          <w:rFonts w:eastAsia="Times New Roman" w:cs="Arial"/>
          <w:lang w:val="fr-FR" w:eastAsia="fr-FR"/>
        </w:rPr>
        <w:t>Marc GOERGEN, Léon GLODEN,</w:t>
      </w:r>
      <w:r w:rsidRPr="00A902EE">
        <w:rPr>
          <w:rFonts w:eastAsia="Times New Roman" w:cs="Arial"/>
          <w:lang w:eastAsia="fr-FR"/>
        </w:rPr>
        <w:t xml:space="preserve"> </w:t>
      </w:r>
      <w:r w:rsidR="00B040DA" w:rsidRPr="00934238">
        <w:rPr>
          <w:rFonts w:eastAsia="Times New Roman" w:cs="Arial"/>
          <w:lang w:val="fr-FR" w:eastAsia="fr-FR"/>
        </w:rPr>
        <w:t>Mme Carole HARTMANN</w:t>
      </w:r>
      <w:r w:rsidR="00B040DA">
        <w:rPr>
          <w:rFonts w:eastAsia="Times New Roman" w:cs="Arial"/>
          <w:lang w:val="fr-FR" w:eastAsia="fr-FR"/>
        </w:rPr>
        <w:t xml:space="preserve">, </w:t>
      </w:r>
      <w:r w:rsidR="00C33036" w:rsidRPr="00A902EE">
        <w:rPr>
          <w:rFonts w:eastAsia="Times New Roman" w:cs="Arial"/>
          <w:lang w:eastAsia="fr-FR"/>
        </w:rPr>
        <w:t xml:space="preserve">Mme </w:t>
      </w:r>
      <w:r w:rsidR="00C33036">
        <w:rPr>
          <w:rFonts w:eastAsia="Times New Roman" w:cs="Arial"/>
          <w:lang w:eastAsia="fr-FR"/>
        </w:rPr>
        <w:t xml:space="preserve">Cécile HEMMEN, </w:t>
      </w:r>
      <w:r w:rsidR="00F03B0B">
        <w:rPr>
          <w:rFonts w:eastAsia="Times New Roman" w:cs="Arial"/>
          <w:lang w:eastAsia="fr-FR"/>
        </w:rPr>
        <w:t>M. Pim KNAFF,</w:t>
      </w:r>
      <w:r w:rsidRPr="00A902EE">
        <w:rPr>
          <w:rFonts w:eastAsia="Times New Roman" w:cs="Arial"/>
          <w:lang w:eastAsia="fr-FR"/>
        </w:rPr>
        <w:t xml:space="preserve"> </w:t>
      </w:r>
      <w:r w:rsidRPr="00A902EE">
        <w:rPr>
          <w:rFonts w:eastAsia="Times New Roman" w:cs="Arial"/>
          <w:lang w:val="fr-FR" w:eastAsia="fr-FR"/>
        </w:rPr>
        <w:t>Mme Octavie MODERT, M. Laurent MOSAR, Mme Viviane REDING, MM. Roy REDING, Gilles ROTH</w:t>
      </w:r>
      <w:r w:rsidRPr="00A902EE">
        <w:rPr>
          <w:rFonts w:eastAsia="Times New Roman" w:cs="Arial"/>
          <w:lang w:eastAsia="fr-FR"/>
        </w:rPr>
        <w:t>, Membres.</w:t>
      </w:r>
    </w:p>
    <w:p w:rsidR="00A902EE" w:rsidRDefault="00A902EE" w:rsidP="00A902EE">
      <w:pPr>
        <w:autoSpaceDE w:val="0"/>
        <w:autoSpaceDN w:val="0"/>
        <w:adjustRightInd w:val="0"/>
        <w:rPr>
          <w:rFonts w:eastAsia="Times New Roman" w:cs="Arial"/>
          <w:lang w:eastAsia="fr-FR"/>
        </w:rPr>
      </w:pPr>
    </w:p>
    <w:p w:rsidR="00444DE6" w:rsidRPr="00A902EE" w:rsidRDefault="00444DE6" w:rsidP="00A902EE">
      <w:pPr>
        <w:autoSpaceDE w:val="0"/>
        <w:autoSpaceDN w:val="0"/>
        <w:adjustRightInd w:val="0"/>
        <w:rPr>
          <w:rFonts w:eastAsia="Times New Roman" w:cs="Arial"/>
          <w:lang w:eastAsia="fr-FR"/>
        </w:rPr>
      </w:pPr>
    </w:p>
    <w:p w:rsidR="002A29B5" w:rsidRPr="002A29B5" w:rsidRDefault="002A29B5" w:rsidP="002A29B5">
      <w:pPr>
        <w:autoSpaceDE w:val="0"/>
        <w:autoSpaceDN w:val="0"/>
        <w:adjustRightInd w:val="0"/>
        <w:rPr>
          <w:rFonts w:eastAsia="Times New Roman" w:cs="Arial"/>
          <w:b/>
          <w:bCs/>
          <w:lang w:eastAsia="fr-FR"/>
        </w:rPr>
      </w:pPr>
    </w:p>
    <w:p w:rsidR="002A29B5" w:rsidRPr="00F442B5" w:rsidRDefault="002A29B5" w:rsidP="00F442B5">
      <w:pPr>
        <w:autoSpaceDE w:val="0"/>
        <w:autoSpaceDN w:val="0"/>
        <w:adjustRightInd w:val="0"/>
        <w:spacing w:line="276" w:lineRule="auto"/>
        <w:jc w:val="center"/>
        <w:rPr>
          <w:rFonts w:eastAsia="Times New Roman" w:cs="Arial"/>
          <w:b/>
          <w:bCs/>
          <w:u w:val="single"/>
          <w:lang w:val="fr-FR" w:eastAsia="fr-FR"/>
        </w:rPr>
      </w:pPr>
      <w:r w:rsidRPr="00F442B5">
        <w:rPr>
          <w:rFonts w:eastAsia="Times New Roman" w:cs="Arial"/>
          <w:b/>
          <w:bCs/>
          <w:u w:val="single"/>
          <w:lang w:val="fr-FR" w:eastAsia="fr-FR"/>
        </w:rPr>
        <w:t>I. Antécédents</w:t>
      </w:r>
    </w:p>
    <w:p w:rsidR="00846F61" w:rsidRPr="00F442B5" w:rsidRDefault="00846F61" w:rsidP="00F442B5">
      <w:pPr>
        <w:autoSpaceDE w:val="0"/>
        <w:autoSpaceDN w:val="0"/>
        <w:adjustRightInd w:val="0"/>
        <w:jc w:val="center"/>
        <w:rPr>
          <w:rFonts w:cs="Arial"/>
          <w:u w:val="single"/>
        </w:rPr>
      </w:pPr>
    </w:p>
    <w:p w:rsidR="00922D66" w:rsidRDefault="00997345" w:rsidP="00922D66">
      <w:pPr>
        <w:rPr>
          <w:rFonts w:cs="Arial"/>
        </w:rPr>
      </w:pPr>
      <w:r w:rsidRPr="00F442B5">
        <w:rPr>
          <w:rFonts w:cs="Arial"/>
        </w:rPr>
        <w:t>Madame le Ministre de la Justice</w:t>
      </w:r>
      <w:r>
        <w:rPr>
          <w:rFonts w:cs="Arial"/>
        </w:rPr>
        <w:t xml:space="preserve"> a procédé au dépôt officiel du projet de </w:t>
      </w:r>
      <w:r w:rsidRPr="00F442B5">
        <w:rPr>
          <w:rFonts w:cs="Arial"/>
        </w:rPr>
        <w:t>loi n° 7</w:t>
      </w:r>
      <w:r w:rsidR="00934238">
        <w:rPr>
          <w:rFonts w:cs="Arial"/>
        </w:rPr>
        <w:t>7</w:t>
      </w:r>
      <w:r w:rsidR="00F77D3C">
        <w:rPr>
          <w:rFonts w:cs="Arial"/>
        </w:rPr>
        <w:t>60</w:t>
      </w:r>
      <w:r>
        <w:rPr>
          <w:rFonts w:cs="Arial"/>
        </w:rPr>
        <w:t xml:space="preserve"> </w:t>
      </w:r>
      <w:r w:rsidRPr="00F442B5">
        <w:rPr>
          <w:rFonts w:cs="Arial"/>
        </w:rPr>
        <w:t>à la Chambre des</w:t>
      </w:r>
      <w:r>
        <w:rPr>
          <w:rFonts w:cs="Arial"/>
        </w:rPr>
        <w:t xml:space="preserve"> Députés en date du </w:t>
      </w:r>
      <w:r w:rsidR="00B040DA">
        <w:t>1</w:t>
      </w:r>
      <w:r w:rsidR="00B040DA" w:rsidRPr="00B040DA">
        <w:rPr>
          <w:vertAlign w:val="superscript"/>
        </w:rPr>
        <w:t>er</w:t>
      </w:r>
      <w:r w:rsidR="00B040DA">
        <w:t xml:space="preserve"> février 2021</w:t>
      </w:r>
      <w:r>
        <w:rPr>
          <w:rFonts w:cs="Arial"/>
        </w:rPr>
        <w:t>.</w:t>
      </w:r>
      <w:r w:rsidR="00922D66">
        <w:rPr>
          <w:rFonts w:cs="Arial"/>
        </w:rPr>
        <w:t xml:space="preserve"> </w:t>
      </w:r>
      <w:r w:rsidR="00922D66" w:rsidRPr="00F442B5">
        <w:rPr>
          <w:rFonts w:cs="Arial"/>
        </w:rPr>
        <w:t>Au texte gouvernemental étaient joints un exposé des motifs, un commentaire des articles</w:t>
      </w:r>
      <w:r w:rsidR="00B56E86">
        <w:rPr>
          <w:rFonts w:cs="Arial"/>
        </w:rPr>
        <w:t xml:space="preserve">, </w:t>
      </w:r>
      <w:r w:rsidR="00922D66" w:rsidRPr="00F442B5">
        <w:rPr>
          <w:rFonts w:cs="Arial"/>
        </w:rPr>
        <w:t>un texte coordonné</w:t>
      </w:r>
      <w:r w:rsidR="001A129F">
        <w:rPr>
          <w:rFonts w:cs="Arial"/>
        </w:rPr>
        <w:t xml:space="preserve"> et une fiche financière</w:t>
      </w:r>
      <w:r w:rsidR="00922D66" w:rsidRPr="00F442B5">
        <w:rPr>
          <w:rFonts w:cs="Arial"/>
        </w:rPr>
        <w:t>.</w:t>
      </w:r>
    </w:p>
    <w:p w:rsidR="00997345" w:rsidRDefault="00997345" w:rsidP="00830E0E">
      <w:pPr>
        <w:autoSpaceDE w:val="0"/>
        <w:autoSpaceDN w:val="0"/>
        <w:adjustRightInd w:val="0"/>
        <w:rPr>
          <w:rFonts w:cs="Arial"/>
        </w:rPr>
      </w:pPr>
    </w:p>
    <w:p w:rsidR="0077402A" w:rsidRDefault="00997345" w:rsidP="00830E0E">
      <w:pPr>
        <w:autoSpaceDE w:val="0"/>
        <w:autoSpaceDN w:val="0"/>
        <w:adjustRightInd w:val="0"/>
        <w:rPr>
          <w:rFonts w:cs="Arial"/>
        </w:rPr>
      </w:pPr>
      <w:r>
        <w:rPr>
          <w:rFonts w:cs="Arial"/>
        </w:rPr>
        <w:t xml:space="preserve">Le </w:t>
      </w:r>
      <w:r w:rsidR="00830E0E">
        <w:rPr>
          <w:rFonts w:cs="Arial"/>
        </w:rPr>
        <w:t xml:space="preserve">projet de loi </w:t>
      </w:r>
      <w:r>
        <w:rPr>
          <w:rFonts w:cs="Arial"/>
        </w:rPr>
        <w:t xml:space="preserve">sous rubrique </w:t>
      </w:r>
      <w:r w:rsidR="00830E0E">
        <w:rPr>
          <w:rFonts w:cs="Arial"/>
        </w:rPr>
        <w:t xml:space="preserve">a été présenté aux membres de la Commission de la Justice en date du </w:t>
      </w:r>
      <w:r w:rsidR="001C2D04">
        <w:rPr>
          <w:rFonts w:cs="Arial"/>
        </w:rPr>
        <w:t>10 février</w:t>
      </w:r>
      <w:r w:rsidR="00B040DA">
        <w:rPr>
          <w:rFonts w:cs="Arial"/>
        </w:rPr>
        <w:t xml:space="preserve"> 2021</w:t>
      </w:r>
      <w:r w:rsidR="00922D66">
        <w:rPr>
          <w:rFonts w:cs="Arial"/>
        </w:rPr>
        <w:t xml:space="preserve">. Lors de cette réunion, les membres de la Commission de la Justice </w:t>
      </w:r>
      <w:r w:rsidR="00922D66" w:rsidRPr="00F442B5">
        <w:rPr>
          <w:rFonts w:cs="Arial"/>
        </w:rPr>
        <w:t xml:space="preserve">ont désigné </w:t>
      </w:r>
      <w:r w:rsidR="00A44C9D">
        <w:rPr>
          <w:rFonts w:cs="Arial"/>
        </w:rPr>
        <w:t xml:space="preserve">Madame </w:t>
      </w:r>
      <w:r w:rsidR="00B040DA" w:rsidRPr="00A902EE">
        <w:rPr>
          <w:rFonts w:eastAsia="Times New Roman" w:cs="Arial"/>
          <w:lang w:val="fr-FR" w:eastAsia="fr-FR"/>
        </w:rPr>
        <w:t>Stéphanie EMPAIN</w:t>
      </w:r>
      <w:r w:rsidR="00934238">
        <w:rPr>
          <w:rFonts w:cs="Arial"/>
        </w:rPr>
        <w:t xml:space="preserve"> </w:t>
      </w:r>
      <w:r w:rsidR="00922D66">
        <w:rPr>
          <w:rFonts w:cs="Arial"/>
        </w:rPr>
        <w:t xml:space="preserve">(groupe politique </w:t>
      </w:r>
      <w:r w:rsidR="00B040DA">
        <w:rPr>
          <w:rFonts w:cs="Arial"/>
        </w:rPr>
        <w:t>déi gréng</w:t>
      </w:r>
      <w:r w:rsidR="00922D66">
        <w:rPr>
          <w:rFonts w:cs="Arial"/>
        </w:rPr>
        <w:t>)</w:t>
      </w:r>
      <w:r w:rsidR="00922D66" w:rsidRPr="00F442B5">
        <w:rPr>
          <w:rFonts w:cs="Arial"/>
        </w:rPr>
        <w:t xml:space="preserve"> comme Rapport</w:t>
      </w:r>
      <w:r w:rsidR="00934238">
        <w:rPr>
          <w:rFonts w:cs="Arial"/>
        </w:rPr>
        <w:t>eur</w:t>
      </w:r>
      <w:r w:rsidR="00922D66" w:rsidRPr="00F442B5">
        <w:rPr>
          <w:rFonts w:cs="Arial"/>
        </w:rPr>
        <w:t xml:space="preserve"> du projet de loi</w:t>
      </w:r>
      <w:r w:rsidR="00EA2C42">
        <w:rPr>
          <w:rFonts w:cs="Arial"/>
        </w:rPr>
        <w:t>. De plus,</w:t>
      </w:r>
      <w:r w:rsidR="00433672">
        <w:rPr>
          <w:rFonts w:cs="Arial"/>
        </w:rPr>
        <w:t xml:space="preserve"> la commission parlementaire a procédé à l’examen des articles</w:t>
      </w:r>
      <w:r w:rsidR="00EA2C42">
        <w:rPr>
          <w:rFonts w:cs="Arial"/>
        </w:rPr>
        <w:t xml:space="preserve"> </w:t>
      </w:r>
      <w:r w:rsidR="00CC613E">
        <w:rPr>
          <w:rFonts w:cs="Arial"/>
        </w:rPr>
        <w:t>du projet de loi</w:t>
      </w:r>
      <w:r w:rsidR="0077402A">
        <w:rPr>
          <w:rFonts w:cs="Arial"/>
        </w:rPr>
        <w:t>.</w:t>
      </w:r>
    </w:p>
    <w:p w:rsidR="0077402A" w:rsidRDefault="0077402A" w:rsidP="00830E0E">
      <w:pPr>
        <w:autoSpaceDE w:val="0"/>
        <w:autoSpaceDN w:val="0"/>
        <w:adjustRightInd w:val="0"/>
        <w:rPr>
          <w:rFonts w:cs="Arial"/>
        </w:rPr>
      </w:pPr>
    </w:p>
    <w:p w:rsidR="00CC613E" w:rsidRPr="00F442B5" w:rsidRDefault="00CC613E" w:rsidP="00CC613E">
      <w:pPr>
        <w:rPr>
          <w:rFonts w:cs="Arial"/>
        </w:rPr>
      </w:pPr>
      <w:bookmarkStart w:id="1" w:name="_Hlk20836521"/>
      <w:r w:rsidRPr="00F442B5">
        <w:rPr>
          <w:rFonts w:cs="Arial"/>
        </w:rPr>
        <w:t xml:space="preserve">Le </w:t>
      </w:r>
      <w:r w:rsidR="00B040DA">
        <w:rPr>
          <w:rFonts w:cs="Arial"/>
        </w:rPr>
        <w:t>4 mars 2021</w:t>
      </w:r>
      <w:r w:rsidRPr="00F442B5">
        <w:rPr>
          <w:rFonts w:cs="Arial"/>
        </w:rPr>
        <w:t>, le Conseil d’Etat a rendu son avis sur le projet de loi prémentionné.</w:t>
      </w:r>
    </w:p>
    <w:p w:rsidR="00757C8E" w:rsidRDefault="00757C8E" w:rsidP="00C30911">
      <w:pPr>
        <w:rPr>
          <w:rFonts w:cs="Arial"/>
        </w:rPr>
      </w:pPr>
    </w:p>
    <w:p w:rsidR="008C7F16" w:rsidRDefault="00757C8E" w:rsidP="00D36517">
      <w:pPr>
        <w:rPr>
          <w:rFonts w:cs="Arial"/>
        </w:rPr>
      </w:pPr>
      <w:r>
        <w:rPr>
          <w:rFonts w:cs="Arial"/>
        </w:rPr>
        <w:t>En</w:t>
      </w:r>
      <w:r w:rsidR="00714551">
        <w:rPr>
          <w:rFonts w:cs="Arial"/>
        </w:rPr>
        <w:t xml:space="preserve"> date du </w:t>
      </w:r>
      <w:r w:rsidR="00B040DA">
        <w:rPr>
          <w:rFonts w:cs="Arial"/>
        </w:rPr>
        <w:t>10 mars 2021</w:t>
      </w:r>
      <w:r w:rsidR="00714551">
        <w:rPr>
          <w:rFonts w:cs="Arial"/>
        </w:rPr>
        <w:t xml:space="preserve">, la Commission de la Justice a procédé à l’examen de l’avis du Conseil d’Etat. </w:t>
      </w:r>
      <w:bookmarkStart w:id="2" w:name="_Hlk58589046"/>
      <w:bookmarkEnd w:id="1"/>
    </w:p>
    <w:p w:rsidR="008C7F16" w:rsidRDefault="008C7F16" w:rsidP="00D36517">
      <w:pPr>
        <w:rPr>
          <w:rFonts w:cs="Arial"/>
        </w:rPr>
      </w:pPr>
    </w:p>
    <w:p w:rsidR="00BD359B" w:rsidRPr="00D36517" w:rsidRDefault="00B040DA" w:rsidP="00D36517">
      <w:pPr>
        <w:rPr>
          <w:rFonts w:cs="Arial"/>
        </w:rPr>
      </w:pPr>
      <w:r w:rsidRPr="002510E9">
        <w:rPr>
          <w:rFonts w:cs="Arial"/>
        </w:rPr>
        <w:t xml:space="preserve">Lors de </w:t>
      </w:r>
      <w:r w:rsidR="008C7F16" w:rsidRPr="002510E9">
        <w:rPr>
          <w:rFonts w:cs="Arial"/>
        </w:rPr>
        <w:t>sa</w:t>
      </w:r>
      <w:r w:rsidRPr="002510E9">
        <w:rPr>
          <w:rFonts w:cs="Arial"/>
        </w:rPr>
        <w:t xml:space="preserve"> réunion</w:t>
      </w:r>
      <w:r w:rsidR="008C7F16" w:rsidRPr="002510E9">
        <w:rPr>
          <w:rFonts w:cs="Arial"/>
        </w:rPr>
        <w:t xml:space="preserve"> du </w:t>
      </w:r>
      <w:r w:rsidR="002A7DFB" w:rsidRPr="002510E9">
        <w:rPr>
          <w:rFonts w:cs="Arial"/>
        </w:rPr>
        <w:t>15</w:t>
      </w:r>
      <w:r w:rsidR="008C7F16" w:rsidRPr="002510E9">
        <w:rPr>
          <w:rFonts w:cs="Arial"/>
        </w:rPr>
        <w:t xml:space="preserve"> mars 2021</w:t>
      </w:r>
      <w:r w:rsidR="00D115D6" w:rsidRPr="002510E9">
        <w:rPr>
          <w:rFonts w:cs="Arial"/>
        </w:rPr>
        <w:t>, les membres de la Commission de la Justice ont</w:t>
      </w:r>
      <w:r w:rsidR="006608D7" w:rsidRPr="002510E9">
        <w:rPr>
          <w:rFonts w:cs="Arial"/>
        </w:rPr>
        <w:t xml:space="preserve"> </w:t>
      </w:r>
      <w:r w:rsidR="00D115D6" w:rsidRPr="002510E9">
        <w:rPr>
          <w:rFonts w:cs="Arial"/>
        </w:rPr>
        <w:t>adopté le présent rapport.</w:t>
      </w:r>
    </w:p>
    <w:bookmarkEnd w:id="2"/>
    <w:p w:rsidR="00846F61" w:rsidRPr="003903EF" w:rsidRDefault="00846F61" w:rsidP="003903EF">
      <w:pPr>
        <w:jc w:val="center"/>
      </w:pPr>
    </w:p>
    <w:p w:rsidR="00846F61" w:rsidRPr="003903EF" w:rsidRDefault="00846F61" w:rsidP="003903EF">
      <w:pPr>
        <w:jc w:val="center"/>
      </w:pPr>
    </w:p>
    <w:p w:rsidR="003903EF" w:rsidRPr="003903EF" w:rsidRDefault="00846F61" w:rsidP="003903EF">
      <w:pPr>
        <w:jc w:val="center"/>
        <w:rPr>
          <w:b/>
        </w:rPr>
      </w:pPr>
      <w:r w:rsidRPr="003903EF">
        <w:rPr>
          <w:b/>
        </w:rPr>
        <w:t>*</w:t>
      </w:r>
    </w:p>
    <w:p w:rsidR="00572EF1" w:rsidRDefault="00572EF1" w:rsidP="00572EF1">
      <w:pPr>
        <w:jc w:val="center"/>
        <w:rPr>
          <w:rFonts w:eastAsia="Times New Roman" w:cs="Arial"/>
          <w:b/>
          <w:bCs/>
          <w:u w:val="single"/>
          <w:lang w:val="fr-FR"/>
        </w:rPr>
      </w:pPr>
    </w:p>
    <w:p w:rsidR="00572EF1" w:rsidRPr="003903EF" w:rsidRDefault="00572EF1" w:rsidP="00572EF1">
      <w:pPr>
        <w:jc w:val="center"/>
        <w:rPr>
          <w:rFonts w:eastAsia="Times New Roman" w:cs="Arial"/>
          <w:b/>
          <w:bCs/>
          <w:u w:val="single"/>
          <w:lang w:val="fr-FR"/>
        </w:rPr>
      </w:pPr>
      <w:r w:rsidRPr="003903EF">
        <w:rPr>
          <w:rFonts w:eastAsia="Times New Roman" w:cs="Arial"/>
          <w:b/>
          <w:bCs/>
          <w:u w:val="single"/>
          <w:lang w:val="fr-FR"/>
        </w:rPr>
        <w:t>II. Objet</w:t>
      </w:r>
    </w:p>
    <w:p w:rsidR="00572EF1" w:rsidRDefault="00572EF1" w:rsidP="00572EF1">
      <w:pPr>
        <w:jc w:val="center"/>
        <w:rPr>
          <w:rFonts w:eastAsia="Times New Roman" w:cs="Arial"/>
          <w:b/>
          <w:bCs/>
          <w:lang w:val="fr-FR"/>
        </w:rPr>
      </w:pPr>
    </w:p>
    <w:p w:rsidR="00572EF1" w:rsidRDefault="00572EF1" w:rsidP="00572EF1">
      <w:pPr>
        <w:rPr>
          <w:rFonts w:cs="Arial"/>
        </w:rPr>
      </w:pPr>
      <w:bookmarkStart w:id="3" w:name="_Hlk66710305"/>
      <w:r w:rsidRPr="000330F2">
        <w:rPr>
          <w:rFonts w:cs="Arial"/>
        </w:rPr>
        <w:t xml:space="preserve">Le projet de loi </w:t>
      </w:r>
      <w:r>
        <w:rPr>
          <w:rFonts w:cs="Arial"/>
        </w:rPr>
        <w:t xml:space="preserve">n° </w:t>
      </w:r>
      <w:r w:rsidRPr="000330F2">
        <w:rPr>
          <w:rFonts w:cs="Arial"/>
        </w:rPr>
        <w:t>7760 est lié au projet de loi n° 7759 relati</w:t>
      </w:r>
      <w:r>
        <w:rPr>
          <w:rFonts w:cs="Arial"/>
        </w:rPr>
        <w:t>f</w:t>
      </w:r>
      <w:r w:rsidRPr="000330F2">
        <w:rPr>
          <w:rFonts w:cs="Arial"/>
        </w:rPr>
        <w:t xml:space="preserve"> à la mise en application du règlement (UE) 2017/1939 du Conseil du 12 octobre 2017 mettant en œuvre une coopération renforcée concernant la création du Parquet européen et modifiant le Code de procédure pénale.</w:t>
      </w:r>
    </w:p>
    <w:p w:rsidR="00572EF1" w:rsidRPr="000330F2" w:rsidRDefault="00572EF1" w:rsidP="00572EF1">
      <w:pPr>
        <w:rPr>
          <w:rFonts w:cs="Arial"/>
        </w:rPr>
      </w:pPr>
    </w:p>
    <w:p w:rsidR="00572EF1" w:rsidRPr="000330F2" w:rsidRDefault="00572EF1" w:rsidP="00572EF1">
      <w:pPr>
        <w:rPr>
          <w:rFonts w:cs="Arial"/>
        </w:rPr>
      </w:pPr>
      <w:r w:rsidRPr="000330F2">
        <w:rPr>
          <w:rFonts w:eastAsia="Times New Roman" w:cs="Arial"/>
          <w:lang w:eastAsia="fr-LU"/>
        </w:rPr>
        <w:t>Alors que le projet de loi n° 7759 porte sur le cadre procédural dans lequel l’</w:t>
      </w:r>
      <w:r>
        <w:rPr>
          <w:rFonts w:eastAsia="Times New Roman" w:cs="Arial"/>
          <w:lang w:eastAsia="fr-LU"/>
        </w:rPr>
        <w:t>O</w:t>
      </w:r>
      <w:r w:rsidRPr="000330F2">
        <w:rPr>
          <w:rFonts w:eastAsia="Times New Roman" w:cs="Arial"/>
          <w:lang w:eastAsia="fr-LU"/>
        </w:rPr>
        <w:t xml:space="preserve">ffice des procureurs européens délégués exerce les compétences qu’il tient au titre du règlement (UE) </w:t>
      </w:r>
      <w:r w:rsidRPr="000330F2">
        <w:rPr>
          <w:rFonts w:eastAsia="Times New Roman" w:cs="Arial"/>
          <w:lang w:eastAsia="fr-LU"/>
        </w:rPr>
        <w:lastRenderedPageBreak/>
        <w:t xml:space="preserve">2017/1939, le projet de loi </w:t>
      </w:r>
      <w:r>
        <w:rPr>
          <w:rFonts w:eastAsia="Times New Roman" w:cs="Arial"/>
          <w:lang w:eastAsia="fr-LU"/>
        </w:rPr>
        <w:t xml:space="preserve">n° </w:t>
      </w:r>
      <w:r w:rsidRPr="000330F2">
        <w:rPr>
          <w:rFonts w:eastAsia="Times New Roman" w:cs="Arial"/>
          <w:lang w:eastAsia="fr-LU"/>
        </w:rPr>
        <w:t>7760 organise la structure de l’</w:t>
      </w:r>
      <w:r>
        <w:rPr>
          <w:rFonts w:eastAsia="Times New Roman" w:cs="Arial"/>
          <w:lang w:eastAsia="fr-LU"/>
        </w:rPr>
        <w:t>O</w:t>
      </w:r>
      <w:r w:rsidRPr="000330F2">
        <w:rPr>
          <w:rFonts w:eastAsia="Times New Roman" w:cs="Arial"/>
          <w:lang w:eastAsia="fr-LU"/>
        </w:rPr>
        <w:t>ffice dans le cadre de l’organisation judiciaire luxembourgeoise</w:t>
      </w:r>
      <w:r w:rsidRPr="000330F2">
        <w:rPr>
          <w:rFonts w:cs="Arial"/>
        </w:rPr>
        <w:t>.</w:t>
      </w:r>
      <w:r>
        <w:rPr>
          <w:rFonts w:cs="Arial"/>
        </w:rPr>
        <w:t xml:space="preserve"> Les modifications concernent la loi modifiée du 7 mars 1980 sur l’organisation judiciaire.</w:t>
      </w:r>
    </w:p>
    <w:p w:rsidR="00572EF1" w:rsidRPr="000330F2" w:rsidRDefault="00572EF1" w:rsidP="00572EF1">
      <w:pPr>
        <w:rPr>
          <w:rFonts w:cs="Arial"/>
        </w:rPr>
      </w:pPr>
    </w:p>
    <w:p w:rsidR="00572EF1" w:rsidRDefault="00572EF1" w:rsidP="00572EF1">
      <w:pPr>
        <w:rPr>
          <w:rFonts w:cs="Arial"/>
        </w:rPr>
      </w:pPr>
      <w:r w:rsidRPr="006F2C25">
        <w:rPr>
          <w:rFonts w:cs="Arial"/>
        </w:rPr>
        <w:t>L’Office des procureurs européens délégués comprendra deux substituts principaux. Ces derniers peuvent être soit membre actif du ministère public</w:t>
      </w:r>
      <w:r>
        <w:rPr>
          <w:rFonts w:cs="Arial"/>
        </w:rPr>
        <w:t>,</w:t>
      </w:r>
      <w:r w:rsidRPr="006F2C25">
        <w:rPr>
          <w:rFonts w:cs="Arial"/>
        </w:rPr>
        <w:t xml:space="preserve"> soit du corps judiciaire. </w:t>
      </w:r>
      <w:r>
        <w:rPr>
          <w:rFonts w:cs="Arial"/>
        </w:rPr>
        <w:t>L</w:t>
      </w:r>
      <w:r w:rsidRPr="006F2C25">
        <w:rPr>
          <w:rFonts w:cs="Arial"/>
        </w:rPr>
        <w:t>es procureurs européens délégués sont choisis par le procureur général d’Etat. Ils sont nommés pour un mandat de cinq ans, renouvelable.</w:t>
      </w:r>
      <w:r>
        <w:rPr>
          <w:rFonts w:cs="Arial"/>
        </w:rPr>
        <w:t xml:space="preserve"> Les procureurs européens délégués ont le grade de substitut principal et sont libérés de leurs fonctions nationales pour la durée de leur mandat.</w:t>
      </w:r>
    </w:p>
    <w:p w:rsidR="00572EF1" w:rsidRPr="006F2C25" w:rsidRDefault="00572EF1" w:rsidP="00572EF1">
      <w:pPr>
        <w:rPr>
          <w:rFonts w:cs="Arial"/>
          <w:lang w:val="fr-FR" w:eastAsia="fr-LU"/>
        </w:rPr>
      </w:pPr>
      <w:r w:rsidRPr="006F2C25">
        <w:rPr>
          <w:rFonts w:eastAsia="Times New Roman" w:cs="Arial"/>
          <w:iCs/>
          <w:szCs w:val="20"/>
          <w:lang w:val="fr-FR" w:eastAsia="fr-LU"/>
        </w:rPr>
        <w:t>Les</w:t>
      </w:r>
      <w:r w:rsidRPr="006F2C25">
        <w:rPr>
          <w:rFonts w:eastAsia="Times New Roman" w:cs="Arial"/>
          <w:szCs w:val="20"/>
          <w:lang w:eastAsia="fr-LU"/>
        </w:rPr>
        <w:t xml:space="preserve"> procureurs européens délégués jouissent des mêmes droits dont bénéficient les magistrats du corps judiciaire. </w:t>
      </w:r>
      <w:r w:rsidRPr="006F2C25">
        <w:rPr>
          <w:rFonts w:cs="Arial"/>
        </w:rPr>
        <w:t>Au terme de leur mandat,</w:t>
      </w:r>
      <w:r w:rsidRPr="006F2C25">
        <w:rPr>
          <w:rFonts w:cs="Arial"/>
          <w:lang w:val="fr-FR" w:eastAsia="fr-LU"/>
        </w:rPr>
        <w:t xml:space="preserve"> </w:t>
      </w:r>
      <w:r>
        <w:rPr>
          <w:rFonts w:cs="Arial"/>
          <w:lang w:val="fr-FR" w:eastAsia="fr-LU"/>
        </w:rPr>
        <w:t>ils</w:t>
      </w:r>
      <w:r w:rsidRPr="006F2C25">
        <w:rPr>
          <w:rFonts w:cs="Arial"/>
          <w:lang w:val="fr-FR" w:eastAsia="fr-LU"/>
        </w:rPr>
        <w:t xml:space="preserve"> sont réintégrés à un poste équivalent à la fonction qu’ils exerçaient auparavant. Au cas où il n’y aurait pas de vacance de poste adéquat, en raison par exemple du nombre limité par la loi de certaines fonctions, le magistrat concerné sera réintégré par dépassement des effectifs.</w:t>
      </w:r>
    </w:p>
    <w:p w:rsidR="00572EF1" w:rsidRPr="00BA3632" w:rsidRDefault="00572EF1" w:rsidP="00572EF1">
      <w:pPr>
        <w:rPr>
          <w:rFonts w:cs="Arial"/>
          <w:lang w:val="fr-FR"/>
        </w:rPr>
      </w:pPr>
      <w:r w:rsidRPr="00BA3632">
        <w:rPr>
          <w:rFonts w:cs="Arial"/>
          <w:lang w:val="fr-FR"/>
        </w:rPr>
        <w:t xml:space="preserve">Les procureurs européens délégués sont assistés d’un secrétariat dans leurs tâches administratives courantes. Le personnel engagé au titre du secrétariat relève de l’administration judiciaire. </w:t>
      </w:r>
    </w:p>
    <w:p w:rsidR="00572EF1" w:rsidRDefault="00572EF1" w:rsidP="00572EF1">
      <w:pPr>
        <w:rPr>
          <w:rFonts w:eastAsia="Times New Roman" w:cs="Arial"/>
          <w:b/>
          <w:bCs/>
          <w:lang w:val="fr-FR"/>
        </w:rPr>
      </w:pPr>
    </w:p>
    <w:bookmarkEnd w:id="3"/>
    <w:p w:rsidR="00572EF1" w:rsidRPr="00276A96" w:rsidRDefault="00572EF1" w:rsidP="00572EF1">
      <w:pPr>
        <w:jc w:val="center"/>
        <w:rPr>
          <w:rFonts w:eastAsia="Times New Roman" w:cs="Arial"/>
          <w:b/>
          <w:bCs/>
          <w:lang w:val="fr-FR"/>
        </w:rPr>
      </w:pPr>
      <w:r w:rsidRPr="00276A96">
        <w:rPr>
          <w:rFonts w:eastAsia="Times New Roman" w:cs="Arial"/>
          <w:b/>
          <w:bCs/>
          <w:lang w:val="fr-FR"/>
        </w:rPr>
        <w:t>*</w:t>
      </w:r>
    </w:p>
    <w:p w:rsidR="00572EF1" w:rsidRPr="003903EF" w:rsidRDefault="00572EF1" w:rsidP="00572EF1">
      <w:pPr>
        <w:rPr>
          <w:rFonts w:eastAsia="Times New Roman" w:cs="Arial"/>
          <w:lang w:val="fr-FR"/>
        </w:rPr>
      </w:pPr>
    </w:p>
    <w:p w:rsidR="00572EF1" w:rsidRPr="00152E1A" w:rsidRDefault="00572EF1" w:rsidP="00572EF1">
      <w:pPr>
        <w:jc w:val="center"/>
        <w:rPr>
          <w:rFonts w:eastAsia="Times New Roman" w:cs="Arial"/>
          <w:b/>
          <w:bCs/>
          <w:u w:val="single"/>
          <w:lang w:val="fr-FR"/>
        </w:rPr>
      </w:pPr>
      <w:r w:rsidRPr="00152E1A">
        <w:rPr>
          <w:rFonts w:eastAsia="Times New Roman" w:cs="Arial"/>
          <w:b/>
          <w:bCs/>
          <w:u w:val="single"/>
          <w:lang w:val="fr-FR"/>
        </w:rPr>
        <w:t>III. Avis</w:t>
      </w:r>
    </w:p>
    <w:p w:rsidR="00572EF1" w:rsidRDefault="00572EF1" w:rsidP="00572EF1">
      <w:pPr>
        <w:rPr>
          <w:rFonts w:eastAsia="Times New Roman" w:cs="Arial"/>
          <w:lang w:val="fr-FR"/>
        </w:rPr>
      </w:pPr>
    </w:p>
    <w:p w:rsidR="00572EF1" w:rsidRPr="009E3DD6" w:rsidRDefault="00572EF1" w:rsidP="00572EF1">
      <w:pPr>
        <w:jc w:val="center"/>
        <w:rPr>
          <w:rFonts w:eastAsia="Times New Roman" w:cs="Arial"/>
          <w:b/>
          <w:bCs/>
        </w:rPr>
      </w:pPr>
      <w:r w:rsidRPr="009E3DD6">
        <w:rPr>
          <w:rFonts w:eastAsia="Times New Roman" w:cs="Arial"/>
          <w:b/>
          <w:bCs/>
        </w:rPr>
        <w:t>Avis du Groupement des Magistrats Luxembourgeois</w:t>
      </w:r>
    </w:p>
    <w:p w:rsidR="00572EF1" w:rsidRDefault="00572EF1" w:rsidP="00572EF1">
      <w:pPr>
        <w:rPr>
          <w:rFonts w:eastAsia="Times New Roman" w:cs="Arial"/>
        </w:rPr>
      </w:pPr>
    </w:p>
    <w:p w:rsidR="00572EF1" w:rsidRPr="009E3DD6" w:rsidRDefault="00572EF1" w:rsidP="00572EF1">
      <w:pPr>
        <w:rPr>
          <w:rFonts w:eastAsia="Times New Roman" w:cs="Arial"/>
        </w:rPr>
      </w:pPr>
      <w:r w:rsidRPr="009E3DD6">
        <w:rPr>
          <w:rFonts w:eastAsia="Times New Roman" w:cs="Arial"/>
        </w:rPr>
        <w:t>Dans son avis du 3 mars 2021, le Groupement des Magistrats Luxembourgeois ne formule pas d’observations particulières.</w:t>
      </w:r>
    </w:p>
    <w:p w:rsidR="00572EF1" w:rsidRDefault="00572EF1" w:rsidP="00572EF1">
      <w:pPr>
        <w:rPr>
          <w:rFonts w:eastAsia="Times New Roman" w:cs="Arial"/>
        </w:rPr>
      </w:pPr>
    </w:p>
    <w:p w:rsidR="00572EF1" w:rsidRPr="009E3DD6" w:rsidRDefault="00572EF1" w:rsidP="00572EF1">
      <w:pPr>
        <w:rPr>
          <w:rFonts w:eastAsia="Times New Roman" w:cs="Arial"/>
        </w:rPr>
      </w:pPr>
    </w:p>
    <w:p w:rsidR="00572EF1" w:rsidRPr="009E3DD6" w:rsidRDefault="00572EF1" w:rsidP="00572EF1">
      <w:pPr>
        <w:jc w:val="center"/>
        <w:rPr>
          <w:rFonts w:eastAsia="Times New Roman" w:cs="Arial"/>
          <w:b/>
          <w:bCs/>
        </w:rPr>
      </w:pPr>
      <w:r w:rsidRPr="009E3DD6">
        <w:rPr>
          <w:rFonts w:eastAsia="Times New Roman" w:cs="Arial"/>
          <w:b/>
          <w:bCs/>
        </w:rPr>
        <w:t>Avis de l’Ordre des Avocats du Barreau de Luxembourg</w:t>
      </w:r>
    </w:p>
    <w:p w:rsidR="00572EF1" w:rsidRDefault="00572EF1" w:rsidP="00572EF1">
      <w:pPr>
        <w:rPr>
          <w:rFonts w:eastAsia="Times New Roman" w:cs="Arial"/>
        </w:rPr>
      </w:pPr>
    </w:p>
    <w:p w:rsidR="00572EF1" w:rsidRPr="009E3DD6" w:rsidRDefault="00572EF1" w:rsidP="00572EF1">
      <w:pPr>
        <w:rPr>
          <w:rFonts w:eastAsia="Times New Roman" w:cs="Arial"/>
        </w:rPr>
      </w:pPr>
      <w:r w:rsidRPr="009E3DD6">
        <w:rPr>
          <w:rFonts w:eastAsia="Times New Roman" w:cs="Arial"/>
        </w:rPr>
        <w:t>Le Conseil de l’Ordre des Avocats du Barreau de Luxembourg a émis son avis en date du 10 mars 2021.</w:t>
      </w:r>
    </w:p>
    <w:p w:rsidR="00572EF1" w:rsidRDefault="00572EF1" w:rsidP="00572EF1">
      <w:pPr>
        <w:rPr>
          <w:rFonts w:eastAsia="Times New Roman" w:cs="Arial"/>
        </w:rPr>
      </w:pPr>
      <w:r w:rsidRPr="009E3DD6">
        <w:rPr>
          <w:rFonts w:eastAsia="Times New Roman" w:cs="Arial"/>
        </w:rPr>
        <w:t>I</w:t>
      </w:r>
    </w:p>
    <w:p w:rsidR="00572EF1" w:rsidRPr="009E3DD6" w:rsidRDefault="00572EF1" w:rsidP="00572EF1">
      <w:pPr>
        <w:rPr>
          <w:rFonts w:eastAsia="Times New Roman" w:cs="Arial"/>
        </w:rPr>
      </w:pPr>
      <w:r w:rsidRPr="009E3DD6">
        <w:rPr>
          <w:rFonts w:eastAsia="Times New Roman" w:cs="Arial"/>
        </w:rPr>
        <w:t>l émet les mêmes observations que celles formulées par le Conseil d’Etat dans son avis du 4 mars 2021. L’organisation sous forme d’ « office » n’est pas prévue par le Règlement.</w:t>
      </w:r>
    </w:p>
    <w:p w:rsidR="00572EF1" w:rsidRPr="009E3DD6" w:rsidRDefault="00572EF1" w:rsidP="00572EF1">
      <w:pPr>
        <w:rPr>
          <w:rFonts w:eastAsia="Times New Roman" w:cs="Arial"/>
        </w:rPr>
      </w:pPr>
      <w:r w:rsidRPr="009E3DD6">
        <w:rPr>
          <w:rFonts w:eastAsia="Times New Roman" w:cs="Arial"/>
        </w:rPr>
        <w:t>Le Conseil de l’Ordre estime que la référence à l’indépendance des procureurs européens délégués est sans intérêt, alors qu’au terme du paragraphe 1</w:t>
      </w:r>
      <w:r w:rsidRPr="009E3DD6">
        <w:rPr>
          <w:rFonts w:eastAsia="Times New Roman" w:cs="Arial"/>
          <w:vertAlign w:val="superscript"/>
        </w:rPr>
        <w:t>er</w:t>
      </w:r>
      <w:r w:rsidRPr="009E3DD6">
        <w:rPr>
          <w:rFonts w:eastAsia="Times New Roman" w:cs="Arial"/>
        </w:rPr>
        <w:t xml:space="preserve"> du même article, l’office des procureurs européens délégués est placé sous la direction et la surveillance du procureur européen du Luxembourg. De surcroît, son indépendance est consacrée à l’article 6 du Règlement dans lequel il est indiqué que le Parquet européen est indépendant.</w:t>
      </w:r>
    </w:p>
    <w:p w:rsidR="00572EF1" w:rsidRDefault="00572EF1" w:rsidP="00572EF1">
      <w:pPr>
        <w:rPr>
          <w:rFonts w:eastAsia="Times New Roman" w:cs="Arial"/>
        </w:rPr>
      </w:pPr>
      <w:r w:rsidRPr="009E3DD6">
        <w:rPr>
          <w:rFonts w:eastAsia="Times New Roman" w:cs="Arial"/>
        </w:rPr>
        <w:t>Le Conseil de l’Ordre estime qu’il y a lieu de préciser si les substituts principaux nommés procureurs européens délégués conformément au paragraphe (2) continuent à exercer leurs fonctions de substituts principaux, tel que le permettrait l’article 13, 3</w:t>
      </w:r>
      <w:r w:rsidRPr="009E3DD6">
        <w:rPr>
          <w:rFonts w:eastAsia="Times New Roman" w:cs="Arial"/>
          <w:vertAlign w:val="superscript"/>
        </w:rPr>
        <w:t>ème</w:t>
      </w:r>
      <w:r w:rsidRPr="009E3DD6">
        <w:rPr>
          <w:rFonts w:eastAsia="Times New Roman" w:cs="Arial"/>
        </w:rPr>
        <w:t xml:space="preserve"> paragraphe du Règlement.</w:t>
      </w:r>
    </w:p>
    <w:p w:rsidR="00572EF1" w:rsidRPr="009E3DD6" w:rsidRDefault="00572EF1" w:rsidP="00572EF1">
      <w:pPr>
        <w:rPr>
          <w:rFonts w:eastAsia="Times New Roman" w:cs="Arial"/>
        </w:rPr>
      </w:pPr>
    </w:p>
    <w:p w:rsidR="00572EF1" w:rsidRDefault="00572EF1" w:rsidP="00572EF1">
      <w:pPr>
        <w:rPr>
          <w:rFonts w:eastAsia="Times New Roman" w:cs="Arial"/>
        </w:rPr>
      </w:pPr>
      <w:r w:rsidRPr="009E3DD6">
        <w:rPr>
          <w:rFonts w:eastAsia="Times New Roman" w:cs="Arial"/>
        </w:rPr>
        <w:t>Les trois premiers alinéas de l’article 75-8</w:t>
      </w:r>
      <w:r w:rsidRPr="009E3DD6">
        <w:rPr>
          <w:rFonts w:eastAsia="Times New Roman" w:cs="Arial"/>
          <w:i/>
          <w:iCs/>
        </w:rPr>
        <w:t>quinquies</w:t>
      </w:r>
      <w:r w:rsidRPr="009E3DD6">
        <w:rPr>
          <w:rFonts w:eastAsia="Times New Roman" w:cs="Arial"/>
        </w:rPr>
        <w:t xml:space="preserve"> sont superflus aux yeux du Conseil de l’Ordre.</w:t>
      </w:r>
    </w:p>
    <w:p w:rsidR="00572EF1" w:rsidRPr="009E3DD6" w:rsidRDefault="00572EF1" w:rsidP="00572EF1">
      <w:pPr>
        <w:rPr>
          <w:rFonts w:eastAsia="Times New Roman" w:cs="Arial"/>
        </w:rPr>
      </w:pPr>
    </w:p>
    <w:p w:rsidR="00572EF1" w:rsidRDefault="00572EF1" w:rsidP="00572EF1">
      <w:pPr>
        <w:rPr>
          <w:rFonts w:eastAsia="Times New Roman" w:cs="Arial"/>
        </w:rPr>
      </w:pPr>
      <w:r w:rsidRPr="009E3DD6">
        <w:rPr>
          <w:rFonts w:eastAsia="Times New Roman" w:cs="Arial"/>
        </w:rPr>
        <w:t>Quant aux dispositions du paragraphe 1</w:t>
      </w:r>
      <w:r w:rsidRPr="009E3DD6">
        <w:rPr>
          <w:rFonts w:eastAsia="Times New Roman" w:cs="Arial"/>
          <w:vertAlign w:val="superscript"/>
        </w:rPr>
        <w:t>er</w:t>
      </w:r>
      <w:r w:rsidRPr="009E3DD6">
        <w:rPr>
          <w:rFonts w:eastAsia="Times New Roman" w:cs="Arial"/>
        </w:rPr>
        <w:t xml:space="preserve"> de l’article 2, le Conseil de l’Ordre se rallie aux remarques formulées par le Conseil d’Etat dans son avis du 4 mars 2021. En ce qui concerne le deuxième alinéa de cet article, le Conseil de l’Ordre propose de préciser l’objet des « droits des magistrats du corps judiciaire », sachant que la notion de « magistrats du corps judiciaire » est inconnue en droit luxembourgeois.</w:t>
      </w:r>
    </w:p>
    <w:p w:rsidR="00276A96" w:rsidRDefault="00276A96" w:rsidP="003903EF">
      <w:pPr>
        <w:rPr>
          <w:rFonts w:eastAsia="Times New Roman" w:cs="Arial"/>
          <w:lang w:val="fr-FR"/>
        </w:rPr>
      </w:pPr>
    </w:p>
    <w:p w:rsidR="00276A96" w:rsidRPr="00276A96" w:rsidRDefault="00276A96" w:rsidP="00276A96">
      <w:pPr>
        <w:jc w:val="center"/>
        <w:rPr>
          <w:rFonts w:eastAsia="Times New Roman" w:cs="Arial"/>
          <w:b/>
          <w:bCs/>
          <w:lang w:val="fr-FR"/>
        </w:rPr>
      </w:pPr>
      <w:r w:rsidRPr="00276A96">
        <w:rPr>
          <w:rFonts w:eastAsia="Times New Roman" w:cs="Arial"/>
          <w:b/>
          <w:bCs/>
          <w:lang w:val="fr-FR"/>
        </w:rPr>
        <w:t>*</w:t>
      </w:r>
    </w:p>
    <w:p w:rsidR="003903EF" w:rsidRPr="003903EF" w:rsidRDefault="003903EF" w:rsidP="003903EF">
      <w:pPr>
        <w:rPr>
          <w:rFonts w:eastAsia="Times New Roman" w:cs="Arial"/>
          <w:lang w:val="fr-FR"/>
        </w:rPr>
      </w:pPr>
    </w:p>
    <w:p w:rsidR="003903EF" w:rsidRPr="003903EF" w:rsidRDefault="003903EF" w:rsidP="003903EF">
      <w:pPr>
        <w:rPr>
          <w:rFonts w:eastAsia="Times New Roman" w:cs="Arial"/>
          <w:lang w:val="fr-FR"/>
        </w:rPr>
      </w:pPr>
    </w:p>
    <w:p w:rsidR="00B040DA" w:rsidRPr="003903EF" w:rsidRDefault="003903EF" w:rsidP="00B040DA">
      <w:pPr>
        <w:jc w:val="center"/>
        <w:rPr>
          <w:rFonts w:eastAsia="Times New Roman" w:cs="Arial"/>
          <w:lang w:val="fr-FR"/>
        </w:rPr>
      </w:pPr>
      <w:r w:rsidRPr="003903EF">
        <w:rPr>
          <w:rFonts w:eastAsia="Times New Roman" w:cs="Arial"/>
          <w:b/>
          <w:bCs/>
          <w:u w:val="single"/>
          <w:lang w:val="fr-FR"/>
        </w:rPr>
        <w:t xml:space="preserve">IV. </w:t>
      </w:r>
      <w:r w:rsidR="00B040DA" w:rsidRPr="003903EF">
        <w:rPr>
          <w:rFonts w:eastAsia="Times New Roman" w:cs="Arial"/>
          <w:b/>
          <w:bCs/>
          <w:u w:val="single"/>
          <w:lang w:val="fr-FR"/>
        </w:rPr>
        <w:t>Avis du Conseil d’Etat</w:t>
      </w:r>
    </w:p>
    <w:p w:rsidR="00B040DA" w:rsidRDefault="00B040DA" w:rsidP="00334F83"/>
    <w:p w:rsidR="00B040DA" w:rsidRDefault="00002578" w:rsidP="003C271E">
      <w:pPr>
        <w:rPr>
          <w:lang w:val="fr-CH" w:eastAsia="fr-LU"/>
        </w:rPr>
      </w:pPr>
      <w:r>
        <w:rPr>
          <w:lang w:val="fr-CH" w:eastAsia="fr-LU"/>
        </w:rPr>
        <w:t xml:space="preserve">Le Conseil d’Etat a émis son avis en date du 4 mars 2021. Dans le cadre de </w:t>
      </w:r>
      <w:r w:rsidR="001438CC">
        <w:rPr>
          <w:lang w:val="fr-CH" w:eastAsia="fr-LU"/>
        </w:rPr>
        <w:t>son</w:t>
      </w:r>
      <w:r>
        <w:rPr>
          <w:lang w:val="fr-CH" w:eastAsia="fr-LU"/>
        </w:rPr>
        <w:t xml:space="preserve"> avis, </w:t>
      </w:r>
      <w:r w:rsidR="00163D65">
        <w:rPr>
          <w:lang w:val="fr-CH" w:eastAsia="fr-LU"/>
        </w:rPr>
        <w:t xml:space="preserve">il prend acte de la volonté des auteurs du projet de loi de mettre en place </w:t>
      </w:r>
      <w:r w:rsidR="00163D65" w:rsidRPr="00163D65">
        <w:rPr>
          <w:lang w:val="fr-CH" w:eastAsia="fr-LU"/>
        </w:rPr>
        <w:t xml:space="preserve">un </w:t>
      </w:r>
      <w:r w:rsidR="001438CC">
        <w:rPr>
          <w:lang w:val="fr-CH" w:eastAsia="fr-LU"/>
        </w:rPr>
        <w:t>O</w:t>
      </w:r>
      <w:r w:rsidR="00163D65" w:rsidRPr="00163D65">
        <w:rPr>
          <w:lang w:val="fr-CH" w:eastAsia="fr-LU"/>
        </w:rPr>
        <w:t>ffice des procureurs européens délégués</w:t>
      </w:r>
      <w:r w:rsidR="00861445">
        <w:rPr>
          <w:lang w:val="fr-CH" w:eastAsia="fr-LU"/>
        </w:rPr>
        <w:t xml:space="preserve"> et rappelle que le projet de loi sous rubrique est étroitement lié au </w:t>
      </w:r>
      <w:r w:rsidR="00861445" w:rsidRPr="00D82841">
        <w:rPr>
          <w:rFonts w:eastAsia="Times New Roman"/>
          <w:iCs/>
          <w:szCs w:val="20"/>
          <w:lang w:val="fr-FR" w:eastAsia="fr-LU"/>
        </w:rPr>
        <w:t>règlement (UE) 2017/1939 du Conseil du 12 octobre 2017 mettant en œuvre une coopération renforcée concernant la création du Parquet européen</w:t>
      </w:r>
      <w:r w:rsidR="00080FA1">
        <w:rPr>
          <w:rFonts w:eastAsia="Times New Roman"/>
          <w:iCs/>
          <w:szCs w:val="20"/>
          <w:lang w:val="fr-FR" w:eastAsia="fr-LU"/>
        </w:rPr>
        <w:t xml:space="preserve"> (ci-après « </w:t>
      </w:r>
      <w:r w:rsidR="00080FA1" w:rsidRPr="00080FA1">
        <w:rPr>
          <w:rFonts w:eastAsia="Times New Roman"/>
          <w:i/>
          <w:szCs w:val="20"/>
          <w:lang w:val="fr-FR" w:eastAsia="fr-LU"/>
        </w:rPr>
        <w:t>règlement (UE) 2017/1939 </w:t>
      </w:r>
      <w:r w:rsidR="00080FA1">
        <w:rPr>
          <w:rFonts w:eastAsia="Times New Roman"/>
          <w:iCs/>
          <w:szCs w:val="20"/>
          <w:lang w:val="fr-FR" w:eastAsia="fr-LU"/>
        </w:rPr>
        <w:t>»)</w:t>
      </w:r>
      <w:r w:rsidR="00163D65">
        <w:rPr>
          <w:lang w:val="fr-CH" w:eastAsia="fr-LU"/>
        </w:rPr>
        <w:t xml:space="preserve">. </w:t>
      </w:r>
    </w:p>
    <w:p w:rsidR="00080FA1" w:rsidRDefault="00080FA1" w:rsidP="003C271E">
      <w:pPr>
        <w:rPr>
          <w:lang w:val="fr-CH" w:eastAsia="fr-LU"/>
        </w:rPr>
      </w:pPr>
    </w:p>
    <w:p w:rsidR="00080FA1" w:rsidRDefault="00475DB1" w:rsidP="003C271E">
      <w:pPr>
        <w:rPr>
          <w:lang w:val="fr-CH" w:eastAsia="fr-LU"/>
        </w:rPr>
      </w:pPr>
      <w:r>
        <w:rPr>
          <w:lang w:val="fr-CH" w:eastAsia="fr-LU"/>
        </w:rPr>
        <w:t xml:space="preserve">Quant </w:t>
      </w:r>
      <w:r w:rsidR="0060421E">
        <w:rPr>
          <w:lang w:val="fr-CH" w:eastAsia="fr-LU"/>
        </w:rPr>
        <w:t>à l’article 1</w:t>
      </w:r>
      <w:r w:rsidR="0060421E" w:rsidRPr="0060421E">
        <w:rPr>
          <w:vertAlign w:val="superscript"/>
          <w:lang w:val="fr-CH" w:eastAsia="fr-LU"/>
        </w:rPr>
        <w:t>er</w:t>
      </w:r>
      <w:r w:rsidR="0060421E">
        <w:rPr>
          <w:lang w:val="fr-CH" w:eastAsia="fr-LU"/>
        </w:rPr>
        <w:t xml:space="preserve"> du projet de loi portant modification de la </w:t>
      </w:r>
      <w:r w:rsidR="0060421E" w:rsidRPr="0060421E">
        <w:rPr>
          <w:lang w:val="fr-CH" w:eastAsia="fr-LU"/>
        </w:rPr>
        <w:t>loi modifiée du 7 mars 1980 sur l’organisation judiciaire</w:t>
      </w:r>
      <w:r>
        <w:rPr>
          <w:lang w:val="fr-CH" w:eastAsia="fr-LU"/>
        </w:rPr>
        <w:t>, le Conseil d’Etat regarde d’un œil critique</w:t>
      </w:r>
      <w:r w:rsidR="00B85A71">
        <w:rPr>
          <w:lang w:val="fr-CH" w:eastAsia="fr-LU"/>
        </w:rPr>
        <w:t>,</w:t>
      </w:r>
      <w:r>
        <w:rPr>
          <w:lang w:val="fr-CH" w:eastAsia="fr-LU"/>
        </w:rPr>
        <w:t xml:space="preserve"> </w:t>
      </w:r>
      <w:r w:rsidR="00B85A71">
        <w:rPr>
          <w:lang w:val="fr-CH" w:eastAsia="fr-LU"/>
        </w:rPr>
        <w:t xml:space="preserve">d’une part, </w:t>
      </w:r>
      <w:r>
        <w:rPr>
          <w:lang w:val="fr-CH" w:eastAsia="fr-LU"/>
        </w:rPr>
        <w:t>la terminologie employée par les auteurs du projet de loi et</w:t>
      </w:r>
      <w:r w:rsidR="00B85A71">
        <w:rPr>
          <w:lang w:val="fr-CH" w:eastAsia="fr-LU"/>
        </w:rPr>
        <w:t xml:space="preserve">, d’autre part, la reprise au sein du projet de loi de dispositions </w:t>
      </w:r>
      <w:r w:rsidR="00B5259A">
        <w:rPr>
          <w:lang w:val="fr-CH" w:eastAsia="fr-LU"/>
        </w:rPr>
        <w:t>issu</w:t>
      </w:r>
      <w:r w:rsidR="000F03C5">
        <w:rPr>
          <w:lang w:val="fr-CH" w:eastAsia="fr-LU"/>
        </w:rPr>
        <w:t>e</w:t>
      </w:r>
      <w:r w:rsidR="00B5259A">
        <w:rPr>
          <w:lang w:val="fr-CH" w:eastAsia="fr-LU"/>
        </w:rPr>
        <w:t xml:space="preserve">s du </w:t>
      </w:r>
      <w:r w:rsidR="00B5259A" w:rsidRPr="00D82841">
        <w:rPr>
          <w:rFonts w:eastAsia="Times New Roman"/>
          <w:iCs/>
          <w:szCs w:val="20"/>
          <w:lang w:val="fr-FR" w:eastAsia="fr-LU"/>
        </w:rPr>
        <w:t>règlement (UE) 2017/1939</w:t>
      </w:r>
      <w:r>
        <w:rPr>
          <w:lang w:val="fr-CH" w:eastAsia="fr-LU"/>
        </w:rPr>
        <w:t xml:space="preserve">. </w:t>
      </w:r>
    </w:p>
    <w:p w:rsidR="00F3505E" w:rsidRDefault="00F3505E" w:rsidP="003C271E">
      <w:pPr>
        <w:rPr>
          <w:lang w:val="fr-CH" w:eastAsia="fr-LU"/>
        </w:rPr>
      </w:pPr>
    </w:p>
    <w:p w:rsidR="00F3505E" w:rsidRDefault="00F3505E" w:rsidP="003C271E">
      <w:pPr>
        <w:rPr>
          <w:lang w:val="fr-CH" w:eastAsia="fr-LU"/>
        </w:rPr>
      </w:pPr>
      <w:r>
        <w:rPr>
          <w:lang w:val="fr-CH" w:eastAsia="fr-LU"/>
        </w:rPr>
        <w:t xml:space="preserve">La désignation des </w:t>
      </w:r>
      <w:r w:rsidRPr="00F3505E">
        <w:rPr>
          <w:lang w:val="fr-CH" w:eastAsia="fr-LU"/>
        </w:rPr>
        <w:t>procureurs européens délégués</w:t>
      </w:r>
      <w:r>
        <w:rPr>
          <w:lang w:val="fr-CH" w:eastAsia="fr-LU"/>
        </w:rPr>
        <w:t xml:space="preserve"> suscite une série d’interrogations de la part du Conseil d’Etat</w:t>
      </w:r>
      <w:r w:rsidR="00094854">
        <w:rPr>
          <w:lang w:val="fr-CH" w:eastAsia="fr-LU"/>
        </w:rPr>
        <w:t>, ainsi que la question de la mise à disposition d</w:t>
      </w:r>
      <w:r w:rsidR="00173F39">
        <w:rPr>
          <w:lang w:val="fr-CH" w:eastAsia="fr-LU"/>
        </w:rPr>
        <w:t xml:space="preserve">’un secrétariat composé de fonctionnaires et d’agents de l’administration judiciaire </w:t>
      </w:r>
      <w:r w:rsidR="006C594E">
        <w:rPr>
          <w:lang w:val="fr-CH" w:eastAsia="fr-LU"/>
        </w:rPr>
        <w:t xml:space="preserve">qui </w:t>
      </w:r>
      <w:r w:rsidR="00173F39">
        <w:rPr>
          <w:lang w:val="fr-CH" w:eastAsia="fr-LU"/>
        </w:rPr>
        <w:t>devrait être revue</w:t>
      </w:r>
      <w:r w:rsidR="0060421E">
        <w:rPr>
          <w:lang w:val="fr-CH" w:eastAsia="fr-LU"/>
        </w:rPr>
        <w:t xml:space="preserve"> aux yeux du Conseil d’Etat</w:t>
      </w:r>
      <w:r w:rsidR="00173F39">
        <w:rPr>
          <w:lang w:val="fr-CH" w:eastAsia="fr-LU"/>
        </w:rPr>
        <w:t xml:space="preserve">. </w:t>
      </w:r>
    </w:p>
    <w:p w:rsidR="00173F39" w:rsidRDefault="00173F39" w:rsidP="003C271E">
      <w:pPr>
        <w:rPr>
          <w:lang w:val="fr-CH" w:eastAsia="fr-LU"/>
        </w:rPr>
      </w:pPr>
    </w:p>
    <w:p w:rsidR="00DF53DE" w:rsidRDefault="00173F39" w:rsidP="003C271E">
      <w:pPr>
        <w:rPr>
          <w:lang w:val="fr-CH" w:eastAsia="fr-LU"/>
        </w:rPr>
      </w:pPr>
      <w:r>
        <w:rPr>
          <w:lang w:val="fr-CH" w:eastAsia="fr-LU"/>
        </w:rPr>
        <w:t>En ce qui concerne les dispositions de l’article 2 du projet de loi, ayant trait à la rémunération et aux cotisations sociales</w:t>
      </w:r>
      <w:r w:rsidR="00267523">
        <w:rPr>
          <w:lang w:val="fr-CH" w:eastAsia="fr-LU"/>
        </w:rPr>
        <w:t>, ainsi qu’aux dispositions fiscales applicables</w:t>
      </w:r>
      <w:r w:rsidR="00612BA5">
        <w:rPr>
          <w:lang w:val="fr-CH" w:eastAsia="fr-LU"/>
        </w:rPr>
        <w:t xml:space="preserve"> aux procureurs européens délégués</w:t>
      </w:r>
      <w:r w:rsidR="00267523">
        <w:rPr>
          <w:lang w:val="fr-CH" w:eastAsia="fr-LU"/>
        </w:rPr>
        <w:t xml:space="preserve">, </w:t>
      </w:r>
      <w:r w:rsidR="00DF53DE">
        <w:rPr>
          <w:lang w:val="fr-CH" w:eastAsia="fr-LU"/>
        </w:rPr>
        <w:t>le Conseil d’Etat soulève des observations critiques à l’encontre du dispositif proposé</w:t>
      </w:r>
      <w:r w:rsidR="001B7566">
        <w:rPr>
          <w:lang w:val="fr-CH" w:eastAsia="fr-LU"/>
        </w:rPr>
        <w:t xml:space="preserve"> et indique que le libellé proposé suscite un certain nombre d’interrogations</w:t>
      </w:r>
      <w:r w:rsidR="00612BA5">
        <w:rPr>
          <w:lang w:val="fr-CH" w:eastAsia="fr-LU"/>
        </w:rPr>
        <w:t>.</w:t>
      </w:r>
      <w:r w:rsidR="00DF53DE">
        <w:rPr>
          <w:lang w:val="fr-CH" w:eastAsia="fr-LU"/>
        </w:rPr>
        <w:t xml:space="preserve"> </w:t>
      </w:r>
      <w:r w:rsidR="00612BA5">
        <w:rPr>
          <w:lang w:val="fr-CH" w:eastAsia="fr-LU"/>
        </w:rPr>
        <w:t>Il</w:t>
      </w:r>
      <w:r w:rsidR="00DF53DE">
        <w:rPr>
          <w:lang w:val="fr-CH" w:eastAsia="fr-LU"/>
        </w:rPr>
        <w:t xml:space="preserve"> préconise une intégration de </w:t>
      </w:r>
      <w:r w:rsidR="00612BA5">
        <w:rPr>
          <w:lang w:val="fr-CH" w:eastAsia="fr-LU"/>
        </w:rPr>
        <w:t xml:space="preserve">ces </w:t>
      </w:r>
      <w:r w:rsidR="001B7566">
        <w:rPr>
          <w:lang w:val="fr-CH" w:eastAsia="fr-LU"/>
        </w:rPr>
        <w:t>dispositions</w:t>
      </w:r>
      <w:r w:rsidR="00DF53DE">
        <w:rPr>
          <w:lang w:val="fr-CH" w:eastAsia="fr-LU"/>
        </w:rPr>
        <w:t xml:space="preserve"> dans la loi </w:t>
      </w:r>
      <w:r w:rsidR="00DF53DE" w:rsidRPr="00DF53DE">
        <w:rPr>
          <w:lang w:val="fr-CH" w:eastAsia="fr-LU"/>
        </w:rPr>
        <w:t>modifiée du 7 mars 1980 sur l’organisation judiciaire</w:t>
      </w:r>
      <w:r w:rsidR="00DF53DE">
        <w:rPr>
          <w:lang w:val="fr-CH" w:eastAsia="fr-LU"/>
        </w:rPr>
        <w:t xml:space="preserve">. </w:t>
      </w:r>
      <w:r w:rsidR="00142690">
        <w:rPr>
          <w:lang w:val="fr-CH" w:eastAsia="fr-LU"/>
        </w:rPr>
        <w:t xml:space="preserve">Enfin, il propose une série de libellés alternatifs visant à reformuler les dispositions du projet de loi sous rubrique. </w:t>
      </w:r>
    </w:p>
    <w:p w:rsidR="00FB22F2" w:rsidRDefault="00FB22F2" w:rsidP="003C271E">
      <w:pPr>
        <w:rPr>
          <w:lang w:val="fr-CH" w:eastAsia="fr-LU"/>
        </w:rPr>
      </w:pPr>
    </w:p>
    <w:p w:rsidR="00FB22F2" w:rsidRDefault="00FB22F2" w:rsidP="003C271E">
      <w:pPr>
        <w:rPr>
          <w:lang w:val="fr-CH" w:eastAsia="fr-LU"/>
        </w:rPr>
      </w:pPr>
      <w:r w:rsidRPr="00FB22F2">
        <w:rPr>
          <w:lang w:val="fr-CH" w:eastAsia="fr-LU"/>
        </w:rPr>
        <w:t>Pour tout détail complémentaire, il est renvoyé au commentaire des articles.</w:t>
      </w:r>
    </w:p>
    <w:p w:rsidR="00B040DA" w:rsidRDefault="00B040DA" w:rsidP="00B040DA">
      <w:pPr>
        <w:jc w:val="center"/>
        <w:rPr>
          <w:rFonts w:cs="Arial"/>
          <w:b/>
        </w:rPr>
      </w:pPr>
    </w:p>
    <w:p w:rsidR="00B040DA" w:rsidRDefault="00B040DA" w:rsidP="00B040DA">
      <w:pPr>
        <w:jc w:val="center"/>
        <w:rPr>
          <w:rFonts w:cs="Arial"/>
          <w:b/>
        </w:rPr>
      </w:pPr>
    </w:p>
    <w:p w:rsidR="00B040DA" w:rsidRDefault="00B040DA" w:rsidP="00B040DA">
      <w:pPr>
        <w:jc w:val="center"/>
        <w:rPr>
          <w:rFonts w:cs="Arial"/>
          <w:b/>
        </w:rPr>
      </w:pPr>
      <w:r w:rsidRPr="00F442B5">
        <w:rPr>
          <w:rFonts w:cs="Arial"/>
          <w:b/>
        </w:rPr>
        <w:t>*</w:t>
      </w:r>
    </w:p>
    <w:p w:rsidR="00934238" w:rsidRDefault="00934238" w:rsidP="00A40C46">
      <w:pPr>
        <w:rPr>
          <w:rFonts w:cs="Arial"/>
          <w:b/>
        </w:rPr>
      </w:pPr>
    </w:p>
    <w:p w:rsidR="003903EF" w:rsidRPr="00F442B5" w:rsidRDefault="003903EF" w:rsidP="00FC705C">
      <w:pPr>
        <w:jc w:val="center"/>
        <w:rPr>
          <w:rFonts w:cs="Arial"/>
          <w:b/>
        </w:rPr>
      </w:pPr>
    </w:p>
    <w:p w:rsidR="00922F51" w:rsidRPr="00A42EF1" w:rsidRDefault="00922F51" w:rsidP="00922F51">
      <w:pPr>
        <w:jc w:val="center"/>
        <w:rPr>
          <w:rFonts w:eastAsia="Times New Roman" w:cs="Arial"/>
          <w:b/>
          <w:u w:val="single"/>
          <w:lang w:val="fr-FR" w:eastAsia="fr-FR"/>
        </w:rPr>
      </w:pPr>
      <w:r w:rsidRPr="00A42EF1">
        <w:rPr>
          <w:rFonts w:eastAsia="Times New Roman" w:cs="Arial"/>
          <w:b/>
          <w:u w:val="single"/>
          <w:lang w:val="fr-FR" w:eastAsia="fr-FR"/>
        </w:rPr>
        <w:t>V. Commentaire des articles</w:t>
      </w:r>
    </w:p>
    <w:p w:rsidR="00E77172" w:rsidRDefault="00E77172" w:rsidP="008F0C6D">
      <w:pPr>
        <w:rPr>
          <w:rFonts w:eastAsia="Times New Roman"/>
          <w:b/>
          <w:bCs/>
          <w:lang w:val="fr-FR"/>
        </w:rPr>
      </w:pPr>
    </w:p>
    <w:p w:rsidR="008F0C6D" w:rsidRPr="009433E5" w:rsidRDefault="00C1200D" w:rsidP="008F0C6D">
      <w:pPr>
        <w:rPr>
          <w:rFonts w:eastAsia="Times New Roman"/>
          <w:b/>
          <w:bCs/>
          <w:lang w:val="fr-FR"/>
        </w:rPr>
      </w:pPr>
      <w:r w:rsidRPr="009433E5">
        <w:rPr>
          <w:rFonts w:eastAsia="Times New Roman"/>
          <w:b/>
          <w:bCs/>
          <w:lang w:val="fr-FR"/>
        </w:rPr>
        <w:t>Art</w:t>
      </w:r>
      <w:r w:rsidR="0072793C">
        <w:rPr>
          <w:rFonts w:eastAsia="Times New Roman"/>
          <w:b/>
          <w:bCs/>
          <w:lang w:val="fr-FR"/>
        </w:rPr>
        <w:t>icle unique.</w:t>
      </w:r>
      <w:r w:rsidR="00882B15">
        <w:rPr>
          <w:rFonts w:eastAsia="Times New Roman"/>
          <w:b/>
          <w:bCs/>
          <w:lang w:val="fr-FR"/>
        </w:rPr>
        <w:t xml:space="preserve"> -</w:t>
      </w:r>
      <w:r w:rsidR="0072793C">
        <w:rPr>
          <w:rFonts w:eastAsia="Times New Roman"/>
          <w:b/>
          <w:bCs/>
          <w:lang w:val="fr-FR"/>
        </w:rPr>
        <w:t xml:space="preserve"> </w:t>
      </w:r>
      <w:r w:rsidR="00882B15">
        <w:rPr>
          <w:rFonts w:eastAsia="Times New Roman"/>
          <w:b/>
          <w:bCs/>
          <w:lang w:val="fr-FR"/>
        </w:rPr>
        <w:t>Insertion d’</w:t>
      </w:r>
      <w:r w:rsidR="00882B15" w:rsidRPr="00882B15">
        <w:rPr>
          <w:rFonts w:eastAsia="Times New Roman"/>
          <w:b/>
          <w:bCs/>
          <w:lang w:val="fr-FR"/>
        </w:rPr>
        <w:t>un nouveau paragraphe 3</w:t>
      </w:r>
      <w:r w:rsidR="00882B15" w:rsidRPr="00882B15">
        <w:rPr>
          <w:rFonts w:eastAsia="Times New Roman"/>
          <w:b/>
          <w:bCs/>
          <w:i/>
          <w:lang w:val="fr-FR"/>
        </w:rPr>
        <w:t>bis</w:t>
      </w:r>
      <w:r w:rsidR="00882B15" w:rsidRPr="00882B15">
        <w:rPr>
          <w:rFonts w:eastAsia="Times New Roman"/>
          <w:b/>
          <w:bCs/>
          <w:lang w:val="fr-FR"/>
        </w:rPr>
        <w:t>, intitulé « De l’office des procureurs européens délégués » et comprenant les articles 75-8</w:t>
      </w:r>
      <w:r w:rsidR="00882B15" w:rsidRPr="00882B15">
        <w:rPr>
          <w:rFonts w:eastAsia="Times New Roman"/>
          <w:b/>
          <w:bCs/>
          <w:i/>
          <w:lang w:val="fr-FR"/>
        </w:rPr>
        <w:t>bis</w:t>
      </w:r>
      <w:r w:rsidR="00882B15" w:rsidRPr="00882B15">
        <w:rPr>
          <w:rFonts w:eastAsia="Times New Roman"/>
          <w:b/>
          <w:bCs/>
          <w:lang w:val="fr-FR"/>
        </w:rPr>
        <w:t xml:space="preserve"> à 75-8</w:t>
      </w:r>
      <w:r w:rsidR="00882B15" w:rsidRPr="00882B15">
        <w:rPr>
          <w:rFonts w:eastAsia="Times New Roman"/>
          <w:b/>
          <w:bCs/>
          <w:i/>
          <w:lang w:val="fr-FR"/>
        </w:rPr>
        <w:t>quater</w:t>
      </w:r>
      <w:r w:rsidR="00882B15" w:rsidRPr="00882B15">
        <w:rPr>
          <w:rFonts w:eastAsia="Times New Roman"/>
          <w:b/>
          <w:bCs/>
          <w:lang w:val="fr-FR"/>
        </w:rPr>
        <w:t xml:space="preserve"> nouveaux</w:t>
      </w:r>
    </w:p>
    <w:p w:rsidR="00934238" w:rsidRDefault="00934238" w:rsidP="008F0C6D">
      <w:pPr>
        <w:rPr>
          <w:b/>
          <w:bCs/>
          <w:lang w:val="fr-FR"/>
        </w:rPr>
      </w:pPr>
    </w:p>
    <w:p w:rsidR="00D82841" w:rsidRPr="00D82841" w:rsidRDefault="00D82841" w:rsidP="00D82841">
      <w:pPr>
        <w:rPr>
          <w:u w:val="single"/>
          <w:lang w:val="fr-FR"/>
        </w:rPr>
      </w:pPr>
      <w:r w:rsidRPr="00D82841">
        <w:rPr>
          <w:rFonts w:eastAsia="Times New Roman"/>
          <w:iCs/>
          <w:szCs w:val="20"/>
          <w:u w:val="single"/>
          <w:lang w:val="fr-FR" w:eastAsia="fr-LU"/>
        </w:rPr>
        <w:t>Article 75-8</w:t>
      </w:r>
      <w:r w:rsidRPr="00D82841">
        <w:rPr>
          <w:rFonts w:eastAsia="Times New Roman"/>
          <w:i/>
          <w:iCs/>
          <w:szCs w:val="20"/>
          <w:u w:val="single"/>
          <w:lang w:val="fr-FR" w:eastAsia="fr-LU"/>
        </w:rPr>
        <w:t>bis</w:t>
      </w:r>
      <w:r w:rsidRPr="00D82841">
        <w:rPr>
          <w:rFonts w:eastAsia="Times New Roman"/>
          <w:iCs/>
          <w:szCs w:val="20"/>
          <w:u w:val="single"/>
          <w:lang w:val="fr-FR" w:eastAsia="fr-LU"/>
        </w:rPr>
        <w:t>.</w:t>
      </w:r>
    </w:p>
    <w:p w:rsidR="00D82841" w:rsidRPr="004B5D84" w:rsidRDefault="00D82841" w:rsidP="008F0C6D">
      <w:pPr>
        <w:rPr>
          <w:b/>
          <w:bCs/>
          <w:lang w:val="fr-FR"/>
        </w:rPr>
      </w:pPr>
    </w:p>
    <w:p w:rsidR="00D82841" w:rsidRDefault="00D82841" w:rsidP="00D82841">
      <w:pPr>
        <w:rPr>
          <w:rFonts w:eastAsia="Times New Roman"/>
          <w:iCs/>
          <w:szCs w:val="20"/>
          <w:lang w:val="fr-FR" w:eastAsia="fr-LU"/>
        </w:rPr>
      </w:pPr>
      <w:r w:rsidRPr="00D82841">
        <w:rPr>
          <w:rFonts w:eastAsia="Times New Roman"/>
          <w:iCs/>
          <w:szCs w:val="20"/>
          <w:lang w:val="fr-FR" w:eastAsia="fr-LU"/>
        </w:rPr>
        <w:t>L’article 75-8</w:t>
      </w:r>
      <w:r w:rsidRPr="00D82841">
        <w:rPr>
          <w:rFonts w:eastAsia="Times New Roman"/>
          <w:i/>
          <w:iCs/>
          <w:szCs w:val="20"/>
          <w:lang w:val="fr-FR" w:eastAsia="fr-LU"/>
        </w:rPr>
        <w:t>bis</w:t>
      </w:r>
      <w:r w:rsidRPr="00D82841">
        <w:rPr>
          <w:rFonts w:eastAsia="Times New Roman"/>
          <w:iCs/>
          <w:szCs w:val="20"/>
          <w:lang w:val="fr-FR" w:eastAsia="fr-LU"/>
        </w:rPr>
        <w:t>.</w:t>
      </w:r>
      <w:r w:rsidR="001C52AC">
        <w:rPr>
          <w:rFonts w:eastAsia="Times New Roman"/>
          <w:iCs/>
          <w:szCs w:val="20"/>
          <w:lang w:val="fr-FR" w:eastAsia="fr-LU"/>
        </w:rPr>
        <w:t xml:space="preserve">, </w:t>
      </w:r>
      <w:r w:rsidRPr="001C52AC">
        <w:rPr>
          <w:rFonts w:eastAsia="Times New Roman"/>
          <w:iCs/>
          <w:szCs w:val="20"/>
          <w:lang w:val="fr-FR" w:eastAsia="fr-LU"/>
        </w:rPr>
        <w:t>dans sa formulation initiale</w:t>
      </w:r>
      <w:r w:rsidR="001C52AC">
        <w:rPr>
          <w:rFonts w:eastAsia="Times New Roman"/>
          <w:iCs/>
          <w:szCs w:val="20"/>
          <w:lang w:val="fr-FR" w:eastAsia="fr-LU"/>
        </w:rPr>
        <w:t>,</w:t>
      </w:r>
      <w:r w:rsidRPr="001C52AC">
        <w:rPr>
          <w:rFonts w:eastAsia="Times New Roman"/>
          <w:iCs/>
          <w:szCs w:val="20"/>
          <w:lang w:val="fr-FR" w:eastAsia="fr-LU"/>
        </w:rPr>
        <w:t xml:space="preserve"> faisait référence </w:t>
      </w:r>
      <w:r>
        <w:rPr>
          <w:rFonts w:eastAsia="Times New Roman"/>
          <w:iCs/>
          <w:szCs w:val="20"/>
          <w:lang w:val="fr-FR" w:eastAsia="fr-LU"/>
        </w:rPr>
        <w:t>à</w:t>
      </w:r>
      <w:r w:rsidRPr="00D82841">
        <w:rPr>
          <w:rFonts w:eastAsia="Times New Roman"/>
          <w:iCs/>
          <w:szCs w:val="20"/>
          <w:lang w:val="fr-FR" w:eastAsia="fr-LU"/>
        </w:rPr>
        <w:t xml:space="preserve"> la création d’un </w:t>
      </w:r>
      <w:r w:rsidR="00E401B4">
        <w:rPr>
          <w:rFonts w:eastAsia="Times New Roman"/>
          <w:iCs/>
          <w:szCs w:val="20"/>
          <w:lang w:val="fr-FR" w:eastAsia="fr-LU"/>
        </w:rPr>
        <w:t>O</w:t>
      </w:r>
      <w:r w:rsidRPr="00D82841">
        <w:rPr>
          <w:rFonts w:eastAsia="Times New Roman"/>
          <w:iCs/>
          <w:szCs w:val="20"/>
          <w:lang w:val="fr-FR" w:eastAsia="fr-LU"/>
        </w:rPr>
        <w:t xml:space="preserve">ffice des procureurs européens délégués, opérationnellement indépendant et autonome, </w:t>
      </w:r>
      <w:r w:rsidR="001C52AC">
        <w:rPr>
          <w:rFonts w:eastAsia="Times New Roman"/>
          <w:iCs/>
          <w:szCs w:val="20"/>
          <w:lang w:val="fr-FR" w:eastAsia="fr-LU"/>
        </w:rPr>
        <w:t>et</w:t>
      </w:r>
      <w:r w:rsidRPr="00D82841">
        <w:rPr>
          <w:rFonts w:eastAsia="Times New Roman"/>
          <w:iCs/>
          <w:szCs w:val="20"/>
          <w:lang w:val="fr-FR" w:eastAsia="fr-LU"/>
        </w:rPr>
        <w:t xml:space="preserve"> placé sous la direction et la surveillance du procureur européen national. </w:t>
      </w:r>
      <w:r w:rsidR="001C52AC">
        <w:rPr>
          <w:rFonts w:eastAsia="Times New Roman"/>
          <w:iCs/>
          <w:szCs w:val="20"/>
          <w:lang w:val="fr-FR" w:eastAsia="fr-LU"/>
        </w:rPr>
        <w:t>Le libellé initial</w:t>
      </w:r>
      <w:r w:rsidRPr="00D82841">
        <w:rPr>
          <w:rFonts w:eastAsia="Times New Roman"/>
          <w:iCs/>
          <w:szCs w:val="20"/>
          <w:lang w:val="fr-FR" w:eastAsia="fr-LU"/>
        </w:rPr>
        <w:t xml:space="preserve"> </w:t>
      </w:r>
      <w:r w:rsidR="007B6984">
        <w:rPr>
          <w:rFonts w:eastAsia="Times New Roman"/>
          <w:iCs/>
          <w:szCs w:val="20"/>
          <w:lang w:val="fr-FR" w:eastAsia="fr-LU"/>
        </w:rPr>
        <w:t xml:space="preserve">énumérait également </w:t>
      </w:r>
      <w:r w:rsidRPr="00D82841">
        <w:rPr>
          <w:rFonts w:eastAsia="Times New Roman"/>
          <w:iCs/>
          <w:szCs w:val="20"/>
          <w:lang w:val="fr-FR" w:eastAsia="fr-LU"/>
        </w:rPr>
        <w:t>les missions de l’</w:t>
      </w:r>
      <w:r w:rsidR="007B6984">
        <w:rPr>
          <w:rFonts w:eastAsia="Times New Roman"/>
          <w:iCs/>
          <w:szCs w:val="20"/>
          <w:lang w:val="fr-FR" w:eastAsia="fr-LU"/>
        </w:rPr>
        <w:t>O</w:t>
      </w:r>
      <w:r w:rsidRPr="00D82841">
        <w:rPr>
          <w:rFonts w:eastAsia="Times New Roman"/>
          <w:iCs/>
          <w:szCs w:val="20"/>
          <w:lang w:val="fr-FR" w:eastAsia="fr-LU"/>
        </w:rPr>
        <w:t xml:space="preserve">ffice des procureurs européens délégués qui sont prévues </w:t>
      </w:r>
      <w:r w:rsidR="00080FA1">
        <w:rPr>
          <w:rFonts w:eastAsia="Times New Roman"/>
          <w:iCs/>
          <w:szCs w:val="20"/>
          <w:lang w:val="fr-FR" w:eastAsia="fr-LU"/>
        </w:rPr>
        <w:t xml:space="preserve">par </w:t>
      </w:r>
      <w:r w:rsidRPr="00D82841">
        <w:rPr>
          <w:rFonts w:eastAsia="Times New Roman"/>
          <w:iCs/>
          <w:szCs w:val="20"/>
          <w:lang w:val="fr-FR" w:eastAsia="fr-LU"/>
        </w:rPr>
        <w:t>le</w:t>
      </w:r>
      <w:r w:rsidR="00080FA1">
        <w:rPr>
          <w:rFonts w:eastAsia="Times New Roman"/>
          <w:iCs/>
          <w:szCs w:val="20"/>
          <w:lang w:val="fr-FR" w:eastAsia="fr-LU"/>
        </w:rPr>
        <w:t xml:space="preserve"> </w:t>
      </w:r>
      <w:r w:rsidR="00080FA1" w:rsidRPr="00D82841">
        <w:rPr>
          <w:rFonts w:eastAsia="Times New Roman"/>
          <w:iCs/>
          <w:szCs w:val="20"/>
          <w:lang w:val="fr-FR" w:eastAsia="fr-LU"/>
        </w:rPr>
        <w:t>règlement (UE) 2017/1939</w:t>
      </w:r>
      <w:r w:rsidRPr="00D82841">
        <w:rPr>
          <w:rFonts w:eastAsia="Times New Roman"/>
          <w:iCs/>
          <w:szCs w:val="20"/>
          <w:lang w:val="fr-FR" w:eastAsia="fr-LU"/>
        </w:rPr>
        <w:t>.</w:t>
      </w:r>
    </w:p>
    <w:p w:rsidR="00DA16EA" w:rsidRDefault="00DA16EA" w:rsidP="00D82841">
      <w:pPr>
        <w:rPr>
          <w:rFonts w:eastAsia="Times New Roman"/>
          <w:iCs/>
          <w:szCs w:val="20"/>
          <w:lang w:val="fr-FR" w:eastAsia="fr-LU"/>
        </w:rPr>
      </w:pPr>
    </w:p>
    <w:p w:rsidR="00DA16EA" w:rsidRDefault="00DA16EA" w:rsidP="00D82841">
      <w:pPr>
        <w:rPr>
          <w:rFonts w:eastAsia="Times New Roman"/>
          <w:iCs/>
          <w:szCs w:val="20"/>
          <w:lang w:val="fr-FR" w:eastAsia="fr-LU"/>
        </w:rPr>
      </w:pPr>
      <w:r>
        <w:rPr>
          <w:rFonts w:eastAsia="Times New Roman"/>
          <w:iCs/>
          <w:szCs w:val="20"/>
          <w:lang w:val="fr-FR" w:eastAsia="fr-LU"/>
        </w:rPr>
        <w:t>Dans son avis du 4 mars 2021, le Conseil d’Etat</w:t>
      </w:r>
      <w:r w:rsidR="0078487A">
        <w:rPr>
          <w:rFonts w:eastAsia="Times New Roman"/>
          <w:iCs/>
          <w:szCs w:val="20"/>
          <w:lang w:val="fr-FR" w:eastAsia="fr-LU"/>
        </w:rPr>
        <w:t xml:space="preserve"> rappelle que le « </w:t>
      </w:r>
      <w:r w:rsidR="0078487A" w:rsidRPr="0069641D">
        <w:rPr>
          <w:i/>
          <w:iCs/>
          <w:sz w:val="23"/>
          <w:szCs w:val="23"/>
        </w:rPr>
        <w:t>règlement</w:t>
      </w:r>
      <w:r w:rsidR="0069641D" w:rsidRPr="0069641D">
        <w:rPr>
          <w:i/>
          <w:iCs/>
          <w:sz w:val="23"/>
          <w:szCs w:val="23"/>
        </w:rPr>
        <w:t xml:space="preserve"> [</w:t>
      </w:r>
      <w:r w:rsidR="0069641D" w:rsidRPr="0069641D">
        <w:rPr>
          <w:rFonts w:eastAsia="Times New Roman"/>
          <w:i/>
          <w:iCs/>
          <w:szCs w:val="20"/>
          <w:lang w:val="fr-FR" w:eastAsia="fr-LU"/>
        </w:rPr>
        <w:t>(UE) 2017/1939]</w:t>
      </w:r>
      <w:r w:rsidR="0078487A" w:rsidRPr="0069641D">
        <w:rPr>
          <w:i/>
          <w:iCs/>
          <w:sz w:val="23"/>
          <w:szCs w:val="23"/>
        </w:rPr>
        <w:t>, qui constitue un acte législatif européen directement applicable</w:t>
      </w:r>
      <w:r w:rsidR="00705E09">
        <w:rPr>
          <w:sz w:val="23"/>
          <w:szCs w:val="23"/>
        </w:rPr>
        <w:t> »</w:t>
      </w:r>
      <w:r w:rsidR="0078487A">
        <w:rPr>
          <w:sz w:val="23"/>
          <w:szCs w:val="23"/>
        </w:rPr>
        <w:t xml:space="preserve"> détermine</w:t>
      </w:r>
      <w:r w:rsidR="00705E09">
        <w:rPr>
          <w:sz w:val="23"/>
          <w:szCs w:val="23"/>
        </w:rPr>
        <w:t xml:space="preserve"> </w:t>
      </w:r>
      <w:r w:rsidR="0078487A">
        <w:rPr>
          <w:sz w:val="23"/>
          <w:szCs w:val="23"/>
        </w:rPr>
        <w:t>les missions du Parquet européen</w:t>
      </w:r>
      <w:r w:rsidR="00674EE4">
        <w:rPr>
          <w:rFonts w:eastAsia="Times New Roman"/>
          <w:iCs/>
          <w:szCs w:val="20"/>
          <w:lang w:val="fr-FR" w:eastAsia="fr-LU"/>
        </w:rPr>
        <w:t xml:space="preserve">. </w:t>
      </w:r>
    </w:p>
    <w:p w:rsidR="003C3FF3" w:rsidRPr="00D82841" w:rsidRDefault="003C3FF3" w:rsidP="00D82841">
      <w:pPr>
        <w:rPr>
          <w:rFonts w:eastAsia="Times New Roman"/>
          <w:iCs/>
          <w:szCs w:val="20"/>
          <w:lang w:val="fr-FR" w:eastAsia="fr-LU"/>
        </w:rPr>
      </w:pPr>
    </w:p>
    <w:p w:rsidR="00BE3C99" w:rsidRDefault="00674EE4" w:rsidP="00BE3C99">
      <w:pPr>
        <w:rPr>
          <w:rFonts w:eastAsia="Times New Roman"/>
          <w:bCs/>
          <w:iCs/>
          <w:szCs w:val="20"/>
          <w:lang w:val="fr-FR" w:eastAsia="fr-LU"/>
        </w:rPr>
      </w:pPr>
      <w:r>
        <w:rPr>
          <w:rFonts w:eastAsia="Times New Roman"/>
          <w:szCs w:val="20"/>
          <w:lang w:val="fr-FR" w:eastAsia="fr-LU"/>
        </w:rPr>
        <w:t xml:space="preserve">De plus, le </w:t>
      </w:r>
      <w:r w:rsidR="004304E0">
        <w:rPr>
          <w:rFonts w:eastAsia="Times New Roman"/>
          <w:iCs/>
          <w:szCs w:val="20"/>
          <w:lang w:val="fr-FR" w:eastAsia="fr-LU"/>
        </w:rPr>
        <w:t>Conseil d’Etat se heurte à la terminologie employée et signale que ledit règlement européen n’utilise pas le terme d’ </w:t>
      </w:r>
      <w:r w:rsidR="00321121">
        <w:rPr>
          <w:rFonts w:eastAsia="Times New Roman"/>
          <w:iCs/>
          <w:szCs w:val="20"/>
          <w:lang w:val="fr-FR" w:eastAsia="fr-LU"/>
        </w:rPr>
        <w:t>«</w:t>
      </w:r>
      <w:r w:rsidR="00321121" w:rsidRPr="00AB2FC2">
        <w:rPr>
          <w:rFonts w:eastAsia="Times New Roman"/>
          <w:i/>
          <w:szCs w:val="20"/>
          <w:lang w:val="fr-FR" w:eastAsia="fr-LU"/>
        </w:rPr>
        <w:t> </w:t>
      </w:r>
      <w:r w:rsidR="004304E0" w:rsidRPr="00AB2FC2">
        <w:rPr>
          <w:rFonts w:eastAsia="Times New Roman"/>
          <w:i/>
          <w:szCs w:val="20"/>
          <w:lang w:val="fr-FR" w:eastAsia="fr-LU"/>
        </w:rPr>
        <w:t>Office </w:t>
      </w:r>
      <w:r w:rsidR="004304E0">
        <w:rPr>
          <w:rFonts w:eastAsia="Times New Roman"/>
          <w:iCs/>
          <w:szCs w:val="20"/>
          <w:lang w:val="fr-FR" w:eastAsia="fr-LU"/>
        </w:rPr>
        <w:t>»</w:t>
      </w:r>
      <w:r w:rsidR="00B1074F">
        <w:rPr>
          <w:rFonts w:eastAsia="Times New Roman"/>
          <w:iCs/>
          <w:szCs w:val="20"/>
          <w:lang w:val="fr-FR" w:eastAsia="fr-LU"/>
        </w:rPr>
        <w:t>, qui selon la Haute corporation</w:t>
      </w:r>
      <w:r w:rsidR="00BE3C99">
        <w:rPr>
          <w:rFonts w:eastAsia="Times New Roman"/>
          <w:iCs/>
          <w:szCs w:val="20"/>
          <w:lang w:val="fr-FR" w:eastAsia="fr-LU"/>
        </w:rPr>
        <w:t xml:space="preserve"> </w:t>
      </w:r>
      <w:r w:rsidR="00BE3C99">
        <w:rPr>
          <w:rFonts w:eastAsia="Times New Roman"/>
          <w:bCs/>
          <w:iCs/>
          <w:szCs w:val="20"/>
          <w:lang w:val="fr-FR" w:eastAsia="fr-LU"/>
        </w:rPr>
        <w:t>« </w:t>
      </w:r>
      <w:r w:rsidR="00BE3C99" w:rsidRPr="000E56B8">
        <w:rPr>
          <w:rFonts w:eastAsia="Times New Roman"/>
          <w:bCs/>
          <w:i/>
          <w:szCs w:val="20"/>
          <w:lang w:val="fr-FR" w:eastAsia="fr-LU"/>
        </w:rPr>
        <w:t>[…] peut éventuellement revêtir une signification dans l’optique d’une structure administrative au sens du nouvel article 75-8quater. Les missions de l’article 4 du règlement (UE) 2017/1939 ne sont toutefois pas exercées par un tel office, mais par les procureurs européens délégués en tant que tels. Le renvoi à un office pose d’ailleurs le problème de la hiérarchie dans cet office et de sa direction</w:t>
      </w:r>
      <w:r w:rsidR="000E56B8" w:rsidRPr="000E56B8">
        <w:rPr>
          <w:rFonts w:eastAsia="Times New Roman"/>
          <w:bCs/>
          <w:i/>
          <w:szCs w:val="20"/>
          <w:lang w:val="fr-FR" w:eastAsia="fr-LU"/>
        </w:rPr>
        <w:t> </w:t>
      </w:r>
      <w:r w:rsidR="000E56B8">
        <w:rPr>
          <w:rFonts w:eastAsia="Times New Roman"/>
          <w:bCs/>
          <w:iCs/>
          <w:szCs w:val="20"/>
          <w:lang w:val="fr-FR" w:eastAsia="fr-LU"/>
        </w:rPr>
        <w:t>»</w:t>
      </w:r>
      <w:r w:rsidR="00BE3C99" w:rsidRPr="00BE3C99">
        <w:rPr>
          <w:rFonts w:eastAsia="Times New Roman"/>
          <w:bCs/>
          <w:iCs/>
          <w:szCs w:val="20"/>
          <w:lang w:val="fr-FR" w:eastAsia="fr-LU"/>
        </w:rPr>
        <w:t xml:space="preserve">. </w:t>
      </w:r>
    </w:p>
    <w:p w:rsidR="000E56B8" w:rsidRDefault="000E56B8" w:rsidP="00BE3C99">
      <w:pPr>
        <w:rPr>
          <w:rFonts w:eastAsia="Times New Roman"/>
          <w:bCs/>
          <w:iCs/>
          <w:szCs w:val="20"/>
          <w:lang w:val="fr-FR" w:eastAsia="fr-LU"/>
        </w:rPr>
      </w:pPr>
    </w:p>
    <w:p w:rsidR="000E56B8" w:rsidRDefault="000E56B8" w:rsidP="00BE3C99">
      <w:pPr>
        <w:rPr>
          <w:rFonts w:eastAsia="Times New Roman"/>
          <w:bCs/>
          <w:iCs/>
          <w:szCs w:val="20"/>
          <w:lang w:val="fr-FR" w:eastAsia="fr-LU"/>
        </w:rPr>
      </w:pPr>
      <w:r>
        <w:rPr>
          <w:rFonts w:eastAsia="Times New Roman"/>
          <w:bCs/>
          <w:iCs/>
          <w:szCs w:val="20"/>
          <w:lang w:val="fr-FR" w:eastAsia="fr-LU"/>
        </w:rPr>
        <w:t>Quant à l</w:t>
      </w:r>
      <w:r w:rsidR="0061710F">
        <w:rPr>
          <w:rFonts w:eastAsia="Times New Roman"/>
          <w:bCs/>
          <w:iCs/>
          <w:szCs w:val="20"/>
          <w:lang w:val="fr-FR" w:eastAsia="fr-LU"/>
        </w:rPr>
        <w:t xml:space="preserve">’indépendance et l’autonomie de </w:t>
      </w:r>
      <w:r w:rsidR="00EB1BB4">
        <w:rPr>
          <w:rFonts w:eastAsia="Times New Roman"/>
          <w:bCs/>
          <w:iCs/>
          <w:szCs w:val="20"/>
          <w:lang w:val="fr-FR" w:eastAsia="fr-LU"/>
        </w:rPr>
        <w:t xml:space="preserve">l’Office </w:t>
      </w:r>
      <w:r w:rsidR="00EB1BB4" w:rsidRPr="00EB1BB4">
        <w:rPr>
          <w:rFonts w:eastAsia="Times New Roman"/>
          <w:bCs/>
          <w:iCs/>
          <w:szCs w:val="20"/>
          <w:lang w:val="fr-FR" w:eastAsia="fr-LU"/>
        </w:rPr>
        <w:t>des procureurs européens délégués</w:t>
      </w:r>
      <w:r w:rsidR="00EB1BB4">
        <w:rPr>
          <w:rFonts w:eastAsia="Times New Roman"/>
          <w:bCs/>
          <w:iCs/>
          <w:szCs w:val="20"/>
          <w:lang w:val="fr-FR" w:eastAsia="fr-LU"/>
        </w:rPr>
        <w:t xml:space="preserve">, </w:t>
      </w:r>
      <w:r w:rsidR="00A76647">
        <w:rPr>
          <w:rFonts w:eastAsia="Times New Roman"/>
          <w:bCs/>
          <w:iCs/>
          <w:szCs w:val="20"/>
          <w:lang w:val="fr-FR" w:eastAsia="fr-LU"/>
        </w:rPr>
        <w:t xml:space="preserve">prévues par le paragraphe 2 du libellé initial, </w:t>
      </w:r>
      <w:r w:rsidR="00EB1BB4">
        <w:rPr>
          <w:rFonts w:eastAsia="Times New Roman"/>
          <w:bCs/>
          <w:iCs/>
          <w:szCs w:val="20"/>
          <w:lang w:val="fr-FR" w:eastAsia="fr-LU"/>
        </w:rPr>
        <w:t>le Conseil d’Etat constate que les auteurs de la loi en projet se sont inspirés de</w:t>
      </w:r>
      <w:r w:rsidR="001252E2">
        <w:rPr>
          <w:rFonts w:eastAsia="Times New Roman"/>
          <w:bCs/>
          <w:iCs/>
          <w:szCs w:val="20"/>
          <w:lang w:val="fr-FR" w:eastAsia="fr-LU"/>
        </w:rPr>
        <w:t xml:space="preserve">s dispositions légales </w:t>
      </w:r>
      <w:r w:rsidR="00EB1BB4">
        <w:rPr>
          <w:rFonts w:eastAsia="Times New Roman"/>
          <w:bCs/>
          <w:iCs/>
          <w:szCs w:val="20"/>
          <w:lang w:val="fr-FR" w:eastAsia="fr-LU"/>
        </w:rPr>
        <w:t>applicable</w:t>
      </w:r>
      <w:r w:rsidR="001252E2">
        <w:rPr>
          <w:rFonts w:eastAsia="Times New Roman"/>
          <w:bCs/>
          <w:iCs/>
          <w:szCs w:val="20"/>
          <w:lang w:val="fr-FR" w:eastAsia="fr-LU"/>
        </w:rPr>
        <w:t>s</w:t>
      </w:r>
      <w:r w:rsidR="00EB1BB4">
        <w:rPr>
          <w:rFonts w:eastAsia="Times New Roman"/>
          <w:bCs/>
          <w:iCs/>
          <w:szCs w:val="20"/>
          <w:lang w:val="fr-FR" w:eastAsia="fr-LU"/>
        </w:rPr>
        <w:t xml:space="preserve"> à la Cellule de renseignement financier</w:t>
      </w:r>
      <w:r w:rsidR="00A76647">
        <w:rPr>
          <w:rFonts w:eastAsia="Times New Roman"/>
          <w:bCs/>
          <w:iCs/>
          <w:szCs w:val="20"/>
          <w:lang w:val="fr-FR" w:eastAsia="fr-LU"/>
        </w:rPr>
        <w:t xml:space="preserve">. Or, </w:t>
      </w:r>
      <w:r w:rsidR="00AB2FC2">
        <w:rPr>
          <w:rFonts w:eastAsia="Times New Roman"/>
          <w:bCs/>
          <w:iCs/>
          <w:szCs w:val="20"/>
          <w:lang w:val="fr-FR" w:eastAsia="fr-LU"/>
        </w:rPr>
        <w:t>la</w:t>
      </w:r>
      <w:r w:rsidR="00A76647">
        <w:rPr>
          <w:rFonts w:eastAsia="Times New Roman"/>
          <w:bCs/>
          <w:iCs/>
          <w:szCs w:val="20"/>
          <w:lang w:val="fr-FR" w:eastAsia="fr-LU"/>
        </w:rPr>
        <w:t xml:space="preserve"> formulation </w:t>
      </w:r>
      <w:r w:rsidR="00AB2FC2">
        <w:rPr>
          <w:rFonts w:eastAsia="Times New Roman"/>
          <w:bCs/>
          <w:iCs/>
          <w:szCs w:val="20"/>
          <w:lang w:val="fr-FR" w:eastAsia="fr-LU"/>
        </w:rPr>
        <w:t xml:space="preserve">proposée </w:t>
      </w:r>
      <w:r w:rsidR="00A76647">
        <w:rPr>
          <w:rFonts w:eastAsia="Times New Roman"/>
          <w:bCs/>
          <w:iCs/>
          <w:szCs w:val="20"/>
          <w:lang w:val="fr-FR" w:eastAsia="fr-LU"/>
        </w:rPr>
        <w:t xml:space="preserve">suscite des observations critiques du Conseil d’Etat, qui fait observer </w:t>
      </w:r>
      <w:r w:rsidR="003D3F25">
        <w:rPr>
          <w:rFonts w:eastAsia="Times New Roman"/>
          <w:bCs/>
          <w:iCs/>
          <w:szCs w:val="20"/>
          <w:lang w:val="fr-FR" w:eastAsia="fr-LU"/>
        </w:rPr>
        <w:t>qu</w:t>
      </w:r>
      <w:r w:rsidR="002B6F22">
        <w:rPr>
          <w:rFonts w:eastAsia="Times New Roman"/>
          <w:bCs/>
          <w:iCs/>
          <w:szCs w:val="20"/>
          <w:lang w:val="fr-FR" w:eastAsia="fr-LU"/>
        </w:rPr>
        <w:t xml:space="preserve">’ </w:t>
      </w:r>
      <w:r w:rsidR="003D3F25">
        <w:rPr>
          <w:rFonts w:eastAsia="Times New Roman"/>
          <w:bCs/>
          <w:iCs/>
          <w:szCs w:val="20"/>
          <w:lang w:val="fr-FR" w:eastAsia="fr-LU"/>
        </w:rPr>
        <w:t>« </w:t>
      </w:r>
      <w:r w:rsidR="003D3F25" w:rsidRPr="002B6F22">
        <w:rPr>
          <w:rFonts w:eastAsia="Times New Roman"/>
          <w:bCs/>
          <w:i/>
          <w:szCs w:val="20"/>
          <w:lang w:val="fr-CH" w:eastAsia="fr-LU"/>
        </w:rPr>
        <w:t xml:space="preserve">[…] [e]n vertu de l’article 6 du </w:t>
      </w:r>
      <w:r w:rsidR="003D3F25" w:rsidRPr="002B6F22">
        <w:rPr>
          <w:rFonts w:eastAsia="Times New Roman"/>
          <w:bCs/>
          <w:i/>
          <w:szCs w:val="20"/>
          <w:lang w:val="fr-FR" w:eastAsia="fr-LU"/>
        </w:rPr>
        <w:t>règlement (UE) 2017/1939, le Parquet européen est indépendant. Cette indépendance vaut tant pour le chef du Parquet que pour les procureurs européens et pour les procureurs européens délégués. Nul besoin de répéter cette indépendance dans la loi en projet. La seule question à traiter est celle du rattachement administratif des procureurs délégués qui sont, d’après l’article 8, paragraphe 5, du règlement (UE) 2017/1939, « affectés dans les États membres</w:t>
      </w:r>
      <w:r w:rsidR="002B6F22">
        <w:rPr>
          <w:rFonts w:eastAsia="Times New Roman"/>
          <w:bCs/>
          <w:iCs/>
          <w:szCs w:val="20"/>
          <w:lang w:val="fr-FR" w:eastAsia="fr-LU"/>
        </w:rPr>
        <w:t> ».</w:t>
      </w:r>
      <w:r w:rsidR="000F03C5" w:rsidRPr="000F03C5">
        <w:rPr>
          <w:rFonts w:eastAsia="Times New Roman"/>
          <w:bCs/>
          <w:iCs/>
          <w:szCs w:val="20"/>
          <w:lang w:val="fr-FR" w:eastAsia="fr-LU"/>
        </w:rPr>
        <w:t xml:space="preserve"> </w:t>
      </w:r>
      <w:r w:rsidR="000F03C5">
        <w:rPr>
          <w:rFonts w:eastAsia="Times New Roman"/>
          <w:bCs/>
          <w:iCs/>
          <w:szCs w:val="20"/>
          <w:lang w:val="fr-FR" w:eastAsia="fr-LU"/>
        </w:rPr>
        <w:t>».</w:t>
      </w:r>
    </w:p>
    <w:p w:rsidR="00BE3C99" w:rsidRDefault="00BE3C99" w:rsidP="00E77172">
      <w:pPr>
        <w:rPr>
          <w:rFonts w:eastAsia="Times New Roman"/>
          <w:szCs w:val="20"/>
          <w:lang w:val="fr-FR" w:eastAsia="fr-LU"/>
        </w:rPr>
      </w:pPr>
    </w:p>
    <w:p w:rsidR="00C208DC" w:rsidRDefault="00C208DC" w:rsidP="00E77172">
      <w:pPr>
        <w:rPr>
          <w:rFonts w:eastAsia="Times New Roman"/>
          <w:bCs/>
          <w:szCs w:val="20"/>
          <w:lang w:val="fr-FR" w:eastAsia="fr-LU"/>
        </w:rPr>
      </w:pPr>
      <w:r>
        <w:rPr>
          <w:rFonts w:eastAsia="Times New Roman"/>
          <w:bCs/>
          <w:szCs w:val="20"/>
          <w:lang w:val="fr-FR" w:eastAsia="fr-LU"/>
        </w:rPr>
        <w:t xml:space="preserve">Quant à la désignation des procureurs européens </w:t>
      </w:r>
      <w:r w:rsidR="005A7EA2">
        <w:rPr>
          <w:rFonts w:eastAsia="Times New Roman"/>
          <w:bCs/>
          <w:szCs w:val="20"/>
          <w:lang w:val="fr-FR" w:eastAsia="fr-LU"/>
        </w:rPr>
        <w:t>délégués, le Conseil d’Etat soulève une série d’interrogations et se demande : « </w:t>
      </w:r>
      <w:r w:rsidR="001B51C8" w:rsidRPr="001B51C8">
        <w:rPr>
          <w:rFonts w:eastAsia="Times New Roman"/>
          <w:bCs/>
          <w:i/>
          <w:iCs/>
          <w:szCs w:val="20"/>
          <w:lang w:val="fr-FR" w:eastAsia="fr-LU"/>
        </w:rPr>
        <w:t xml:space="preserve">[…] </w:t>
      </w:r>
      <w:r w:rsidRPr="001B51C8">
        <w:rPr>
          <w:rFonts w:eastAsia="Times New Roman"/>
          <w:bCs/>
          <w:i/>
          <w:iCs/>
          <w:szCs w:val="20"/>
          <w:lang w:val="fr-FR" w:eastAsia="fr-LU"/>
        </w:rPr>
        <w:t>S’agit-il de désigner les procureurs européens délégués parmi les magistrats du parquet ayant au moins le grade de substitut principal en ce sens qu’ils sont choisis parmi les magistrats des parquets ayant ce grade ? S’agit-il au contraire de procéder à une désignation des procureurs européens délégués parmi tous les magistrats du siège ou du parquet remplissant les critères prévus dans le règlement (UE) 2017/1939, à qui le grade de substitut principal sera accordé. Il y a lieu de clarifier ce dispositif</w:t>
      </w:r>
      <w:r w:rsidR="001B51C8" w:rsidRPr="001B51C8">
        <w:rPr>
          <w:rFonts w:eastAsia="Times New Roman"/>
          <w:bCs/>
          <w:i/>
          <w:iCs/>
          <w:szCs w:val="20"/>
          <w:lang w:val="fr-FR" w:eastAsia="fr-LU"/>
        </w:rPr>
        <w:t> […]</w:t>
      </w:r>
      <w:r w:rsidR="005339D9">
        <w:rPr>
          <w:rFonts w:eastAsia="Times New Roman"/>
          <w:bCs/>
          <w:i/>
          <w:iCs/>
          <w:szCs w:val="20"/>
          <w:lang w:val="fr-FR" w:eastAsia="fr-LU"/>
        </w:rPr>
        <w:t> </w:t>
      </w:r>
      <w:r w:rsidR="001B51C8" w:rsidRPr="001B51C8">
        <w:rPr>
          <w:rFonts w:eastAsia="Times New Roman"/>
          <w:bCs/>
          <w:szCs w:val="20"/>
          <w:lang w:val="fr-FR" w:eastAsia="fr-LU"/>
        </w:rPr>
        <w:t>»</w:t>
      </w:r>
      <w:r w:rsidRPr="00C208DC">
        <w:rPr>
          <w:rFonts w:eastAsia="Times New Roman"/>
          <w:bCs/>
          <w:szCs w:val="20"/>
          <w:lang w:val="fr-FR" w:eastAsia="fr-LU"/>
        </w:rPr>
        <w:t>.</w:t>
      </w:r>
    </w:p>
    <w:p w:rsidR="00AB7F95" w:rsidRDefault="00AB7F95" w:rsidP="00E77172">
      <w:pPr>
        <w:rPr>
          <w:rFonts w:eastAsia="Times New Roman"/>
          <w:bCs/>
          <w:szCs w:val="20"/>
          <w:lang w:val="fr-FR" w:eastAsia="fr-LU"/>
        </w:rPr>
      </w:pPr>
    </w:p>
    <w:p w:rsidR="00C208DC" w:rsidRPr="00E77172" w:rsidRDefault="00AB7F95" w:rsidP="00E77172">
      <w:pPr>
        <w:rPr>
          <w:rFonts w:eastAsia="Times New Roman"/>
          <w:szCs w:val="20"/>
          <w:lang w:val="fr-FR" w:eastAsia="fr-LU"/>
        </w:rPr>
      </w:pPr>
      <w:r>
        <w:rPr>
          <w:rFonts w:eastAsia="Times New Roman"/>
          <w:bCs/>
          <w:szCs w:val="20"/>
          <w:lang w:val="fr-FR" w:eastAsia="fr-LU"/>
        </w:rPr>
        <w:t xml:space="preserve">En outre, le Conseil d’Etat estime qu’il y a lieu </w:t>
      </w:r>
      <w:r>
        <w:rPr>
          <w:rFonts w:eastAsia="Times New Roman"/>
          <w:szCs w:val="20"/>
          <w:lang w:val="fr-FR" w:eastAsia="fr-LU"/>
        </w:rPr>
        <w:t>« </w:t>
      </w:r>
      <w:r w:rsidRPr="001B0204">
        <w:rPr>
          <w:rFonts w:eastAsia="Times New Roman"/>
          <w:i/>
          <w:iCs/>
          <w:szCs w:val="20"/>
          <w:lang w:val="fr-FR" w:eastAsia="fr-LU"/>
        </w:rPr>
        <w:t xml:space="preserve">[…] </w:t>
      </w:r>
      <w:r w:rsidRPr="001B0204">
        <w:rPr>
          <w:rFonts w:eastAsia="Times New Roman"/>
          <w:bCs/>
          <w:i/>
          <w:iCs/>
          <w:szCs w:val="20"/>
          <w:lang w:val="fr-FR" w:eastAsia="fr-LU"/>
        </w:rPr>
        <w:t>de régler la « libération » des magistrats en cause du service judiciaire national</w:t>
      </w:r>
      <w:r w:rsidR="00F9206B">
        <w:rPr>
          <w:rFonts w:eastAsia="Times New Roman"/>
          <w:bCs/>
          <w:szCs w:val="20"/>
          <w:lang w:val="fr-FR" w:eastAsia="fr-LU"/>
        </w:rPr>
        <w:t> </w:t>
      </w:r>
      <w:r w:rsidR="001B0204">
        <w:rPr>
          <w:rFonts w:eastAsia="Times New Roman"/>
          <w:bCs/>
          <w:szCs w:val="20"/>
          <w:lang w:val="fr-FR" w:eastAsia="fr-LU"/>
        </w:rPr>
        <w:t xml:space="preserve">[…] </w:t>
      </w:r>
      <w:r w:rsidR="00F9206B">
        <w:rPr>
          <w:rFonts w:eastAsia="Times New Roman"/>
          <w:bCs/>
          <w:szCs w:val="20"/>
          <w:lang w:val="fr-FR" w:eastAsia="fr-LU"/>
        </w:rPr>
        <w:t>»</w:t>
      </w:r>
      <w:r w:rsidR="001B0204">
        <w:rPr>
          <w:rFonts w:eastAsia="Times New Roman"/>
          <w:bCs/>
          <w:szCs w:val="20"/>
          <w:lang w:val="fr-FR" w:eastAsia="fr-LU"/>
        </w:rPr>
        <w:t>,</w:t>
      </w:r>
      <w:r w:rsidR="00F9206B">
        <w:rPr>
          <w:rFonts w:eastAsia="Times New Roman"/>
          <w:bCs/>
          <w:szCs w:val="20"/>
          <w:lang w:val="fr-FR" w:eastAsia="fr-LU"/>
        </w:rPr>
        <w:t xml:space="preserve"> et </w:t>
      </w:r>
      <w:r w:rsidR="001B0204">
        <w:rPr>
          <w:rFonts w:eastAsia="Times New Roman"/>
          <w:bCs/>
          <w:szCs w:val="20"/>
          <w:lang w:val="fr-FR" w:eastAsia="fr-LU"/>
        </w:rPr>
        <w:t xml:space="preserve">il </w:t>
      </w:r>
      <w:r w:rsidR="00F9206B">
        <w:rPr>
          <w:rFonts w:eastAsia="Times New Roman"/>
          <w:bCs/>
          <w:szCs w:val="20"/>
          <w:lang w:val="fr-FR" w:eastAsia="fr-LU"/>
        </w:rPr>
        <w:t>renvoie à une série d’interrogations qui se posent</w:t>
      </w:r>
      <w:r w:rsidR="007638AC">
        <w:rPr>
          <w:rFonts w:eastAsia="Times New Roman"/>
          <w:bCs/>
          <w:szCs w:val="20"/>
          <w:lang w:val="fr-FR" w:eastAsia="fr-LU"/>
        </w:rPr>
        <w:t>. De plus, il adopte une approche comparative et renvoie</w:t>
      </w:r>
      <w:r w:rsidR="00F9206B">
        <w:rPr>
          <w:rFonts w:eastAsia="Times New Roman"/>
          <w:bCs/>
          <w:szCs w:val="20"/>
          <w:lang w:val="fr-FR" w:eastAsia="fr-LU"/>
        </w:rPr>
        <w:t xml:space="preserve"> au droit belge </w:t>
      </w:r>
      <w:r w:rsidR="001B0204">
        <w:rPr>
          <w:rFonts w:eastAsia="Times New Roman"/>
          <w:bCs/>
          <w:szCs w:val="20"/>
          <w:lang w:val="fr-FR" w:eastAsia="fr-LU"/>
        </w:rPr>
        <w:t>en la matière</w:t>
      </w:r>
      <w:r w:rsidRPr="00AB7F95">
        <w:rPr>
          <w:rFonts w:eastAsia="Times New Roman"/>
          <w:bCs/>
          <w:szCs w:val="20"/>
          <w:lang w:val="fr-FR" w:eastAsia="fr-LU"/>
        </w:rPr>
        <w:t>.</w:t>
      </w:r>
    </w:p>
    <w:p w:rsidR="00F9206B" w:rsidRDefault="00F9206B" w:rsidP="00E77172">
      <w:pPr>
        <w:rPr>
          <w:rFonts w:eastAsia="Times New Roman"/>
          <w:szCs w:val="20"/>
          <w:lang w:val="fr-FR" w:eastAsia="fr-LU"/>
        </w:rPr>
      </w:pPr>
    </w:p>
    <w:p w:rsidR="00E77172" w:rsidRDefault="00624BEB" w:rsidP="00E77172">
      <w:pPr>
        <w:rPr>
          <w:rFonts w:eastAsia="Times New Roman"/>
          <w:szCs w:val="20"/>
          <w:lang w:val="fr-FR" w:eastAsia="fr-LU"/>
        </w:rPr>
      </w:pPr>
      <w:r w:rsidRPr="008211CB">
        <w:rPr>
          <w:rFonts w:eastAsia="Times New Roman"/>
          <w:szCs w:val="20"/>
          <w:lang w:val="fr-FR" w:eastAsia="fr-LU"/>
        </w:rPr>
        <w:t>L</w:t>
      </w:r>
      <w:r w:rsidR="00E77172" w:rsidRPr="008211CB">
        <w:rPr>
          <w:rFonts w:eastAsia="Times New Roman"/>
          <w:szCs w:val="20"/>
          <w:lang w:val="fr-FR" w:eastAsia="fr-LU"/>
        </w:rPr>
        <w:t xml:space="preserve">e Conseil d’Etat préconise une </w:t>
      </w:r>
      <w:r w:rsidRPr="008211CB">
        <w:rPr>
          <w:rFonts w:eastAsia="Times New Roman"/>
          <w:szCs w:val="20"/>
          <w:lang w:val="fr-FR" w:eastAsia="fr-LU"/>
        </w:rPr>
        <w:t>reformulation</w:t>
      </w:r>
      <w:r w:rsidR="00E77172" w:rsidRPr="008211CB">
        <w:rPr>
          <w:rFonts w:eastAsia="Times New Roman"/>
          <w:szCs w:val="20"/>
          <w:lang w:val="fr-FR" w:eastAsia="fr-LU"/>
        </w:rPr>
        <w:t xml:space="preserve"> </w:t>
      </w:r>
      <w:r w:rsidRPr="008211CB">
        <w:rPr>
          <w:rFonts w:eastAsia="Times New Roman"/>
          <w:szCs w:val="20"/>
          <w:lang w:val="fr-FR" w:eastAsia="fr-LU"/>
        </w:rPr>
        <w:t>du libellé</w:t>
      </w:r>
      <w:r w:rsidR="00C57897">
        <w:rPr>
          <w:rFonts w:eastAsia="Times New Roman"/>
          <w:szCs w:val="20"/>
          <w:lang w:val="fr-FR" w:eastAsia="fr-LU"/>
        </w:rPr>
        <w:t xml:space="preserve"> et</w:t>
      </w:r>
      <w:r w:rsidRPr="008211CB">
        <w:rPr>
          <w:rFonts w:eastAsia="Times New Roman"/>
          <w:szCs w:val="20"/>
          <w:lang w:val="fr-FR" w:eastAsia="fr-LU"/>
        </w:rPr>
        <w:t xml:space="preserve"> propose un libellé alternatif</w:t>
      </w:r>
      <w:r w:rsidR="00C57897">
        <w:rPr>
          <w:rFonts w:eastAsia="Times New Roman"/>
          <w:szCs w:val="20"/>
          <w:lang w:val="fr-FR" w:eastAsia="fr-LU"/>
        </w:rPr>
        <w:t xml:space="preserve">. </w:t>
      </w:r>
    </w:p>
    <w:p w:rsidR="00297871" w:rsidRDefault="00297871" w:rsidP="00297871">
      <w:pPr>
        <w:rPr>
          <w:rFonts w:eastAsia="Times New Roman"/>
          <w:szCs w:val="20"/>
          <w:lang w:val="fr-FR" w:eastAsia="fr-LU"/>
        </w:rPr>
      </w:pPr>
    </w:p>
    <w:p w:rsidR="00297871" w:rsidRDefault="00297871" w:rsidP="00297871">
      <w:pPr>
        <w:rPr>
          <w:rFonts w:eastAsia="Times New Roman"/>
          <w:szCs w:val="20"/>
          <w:lang w:val="fr-FR" w:eastAsia="fr-LU"/>
        </w:rPr>
      </w:pPr>
      <w:r w:rsidRPr="008211CB">
        <w:rPr>
          <w:rFonts w:eastAsia="Times New Roman"/>
          <w:szCs w:val="20"/>
          <w:lang w:val="fr-FR" w:eastAsia="fr-LU"/>
        </w:rPr>
        <w:t xml:space="preserve">La Commission de la Justice </w:t>
      </w:r>
      <w:r w:rsidR="005339D9">
        <w:rPr>
          <w:rFonts w:eastAsia="Times New Roman"/>
          <w:szCs w:val="20"/>
          <w:lang w:val="fr-FR" w:eastAsia="fr-LU"/>
        </w:rPr>
        <w:t>juge utile de reprendre le libellé proposé</w:t>
      </w:r>
      <w:r w:rsidRPr="008211CB">
        <w:rPr>
          <w:rFonts w:eastAsia="Times New Roman"/>
          <w:szCs w:val="20"/>
          <w:lang w:val="fr-FR" w:eastAsia="fr-LU"/>
        </w:rPr>
        <w:t xml:space="preserve"> </w:t>
      </w:r>
      <w:r w:rsidR="005339D9">
        <w:rPr>
          <w:rFonts w:eastAsia="Times New Roman"/>
          <w:szCs w:val="20"/>
          <w:lang w:val="fr-FR" w:eastAsia="fr-LU"/>
        </w:rPr>
        <w:t>par le</w:t>
      </w:r>
      <w:r w:rsidRPr="008211CB">
        <w:rPr>
          <w:rFonts w:eastAsia="Times New Roman"/>
          <w:szCs w:val="20"/>
          <w:lang w:val="fr-FR" w:eastAsia="fr-LU"/>
        </w:rPr>
        <w:t xml:space="preserve"> Conseil d’Etat.</w:t>
      </w:r>
      <w:r>
        <w:rPr>
          <w:rFonts w:eastAsia="Times New Roman"/>
          <w:szCs w:val="20"/>
          <w:lang w:val="fr-FR" w:eastAsia="fr-LU"/>
        </w:rPr>
        <w:t xml:space="preserve"> </w:t>
      </w:r>
    </w:p>
    <w:p w:rsidR="00E77172" w:rsidRDefault="00E77172" w:rsidP="00E77172">
      <w:pPr>
        <w:rPr>
          <w:rFonts w:eastAsia="Times New Roman"/>
          <w:szCs w:val="20"/>
          <w:lang w:val="fr-FR" w:eastAsia="fr-LU"/>
        </w:rPr>
      </w:pPr>
    </w:p>
    <w:p w:rsidR="004267CC" w:rsidRDefault="00C57897" w:rsidP="00E77172">
      <w:pPr>
        <w:rPr>
          <w:rFonts w:eastAsia="Times New Roman"/>
          <w:szCs w:val="20"/>
          <w:lang w:val="fr-FR" w:eastAsia="fr-LU"/>
        </w:rPr>
      </w:pPr>
      <w:r>
        <w:rPr>
          <w:rFonts w:eastAsia="Times New Roman"/>
          <w:szCs w:val="20"/>
          <w:lang w:val="fr-FR" w:eastAsia="fr-LU"/>
        </w:rPr>
        <w:t xml:space="preserve">Ce libellé reformulé </w:t>
      </w:r>
      <w:r w:rsidR="00062024">
        <w:rPr>
          <w:rFonts w:eastAsia="Times New Roman"/>
          <w:szCs w:val="20"/>
          <w:lang w:val="fr-FR" w:eastAsia="fr-LU"/>
        </w:rPr>
        <w:t>fait référence à</w:t>
      </w:r>
      <w:r>
        <w:rPr>
          <w:rFonts w:eastAsia="Times New Roman"/>
          <w:szCs w:val="20"/>
          <w:lang w:val="fr-FR" w:eastAsia="fr-LU"/>
        </w:rPr>
        <w:t xml:space="preserve"> </w:t>
      </w:r>
      <w:r w:rsidR="00062024">
        <w:rPr>
          <w:rFonts w:eastAsia="Times New Roman"/>
          <w:szCs w:val="20"/>
          <w:lang w:val="fr-FR" w:eastAsia="fr-LU"/>
        </w:rPr>
        <w:t>l</w:t>
      </w:r>
      <w:r w:rsidR="004267CC" w:rsidRPr="004267CC">
        <w:rPr>
          <w:rFonts w:eastAsia="Times New Roman"/>
          <w:szCs w:val="20"/>
          <w:lang w:val="fr-FR" w:eastAsia="fr-LU"/>
        </w:rPr>
        <w:t>’article 17</w:t>
      </w:r>
      <w:r w:rsidR="009553E1">
        <w:rPr>
          <w:rFonts w:eastAsia="Times New Roman"/>
          <w:szCs w:val="20"/>
          <w:lang w:val="fr-FR" w:eastAsia="fr-LU"/>
        </w:rPr>
        <w:t>, paragraphe 2</w:t>
      </w:r>
      <w:r w:rsidR="004267CC" w:rsidRPr="004267CC">
        <w:rPr>
          <w:rFonts w:eastAsia="Times New Roman"/>
          <w:szCs w:val="20"/>
          <w:lang w:val="fr-FR" w:eastAsia="fr-LU"/>
        </w:rPr>
        <w:t xml:space="preserve"> du</w:t>
      </w:r>
      <w:r w:rsidR="004267CC">
        <w:rPr>
          <w:rFonts w:eastAsia="Times New Roman"/>
          <w:szCs w:val="20"/>
          <w:lang w:val="fr-FR" w:eastAsia="fr-LU"/>
        </w:rPr>
        <w:t>dit</w:t>
      </w:r>
      <w:r w:rsidR="004267CC" w:rsidRPr="004267CC">
        <w:rPr>
          <w:rFonts w:eastAsia="Times New Roman"/>
          <w:szCs w:val="20"/>
          <w:lang w:val="fr-FR" w:eastAsia="fr-LU"/>
        </w:rPr>
        <w:t xml:space="preserve"> règlement </w:t>
      </w:r>
      <w:r w:rsidR="004267CC">
        <w:rPr>
          <w:rFonts w:eastAsia="Times New Roman"/>
          <w:szCs w:val="20"/>
          <w:lang w:val="fr-FR" w:eastAsia="fr-LU"/>
        </w:rPr>
        <w:t xml:space="preserve">européen </w:t>
      </w:r>
      <w:r w:rsidR="00062024">
        <w:rPr>
          <w:rFonts w:eastAsia="Times New Roman"/>
          <w:szCs w:val="20"/>
          <w:lang w:val="fr-FR" w:eastAsia="fr-LU"/>
        </w:rPr>
        <w:t xml:space="preserve">qui </w:t>
      </w:r>
      <w:r w:rsidR="004267CC" w:rsidRPr="004267CC">
        <w:rPr>
          <w:rFonts w:eastAsia="Times New Roman"/>
          <w:szCs w:val="20"/>
          <w:lang w:val="fr-FR" w:eastAsia="fr-LU"/>
        </w:rPr>
        <w:t xml:space="preserve">prévoit qu’« </w:t>
      </w:r>
      <w:r w:rsidR="00681AEE" w:rsidRPr="00681AEE">
        <w:rPr>
          <w:rFonts w:eastAsia="Times New Roman"/>
          <w:i/>
          <w:iCs/>
          <w:szCs w:val="20"/>
          <w:lang w:val="fr-FR" w:eastAsia="fr-LU"/>
        </w:rPr>
        <w:t>[…]</w:t>
      </w:r>
      <w:r w:rsidR="00681AEE">
        <w:rPr>
          <w:rFonts w:eastAsia="Times New Roman"/>
          <w:szCs w:val="20"/>
          <w:lang w:val="fr-FR" w:eastAsia="fr-LU"/>
        </w:rPr>
        <w:t xml:space="preserve"> </w:t>
      </w:r>
      <w:r w:rsidR="004267CC" w:rsidRPr="004267CC">
        <w:rPr>
          <w:rFonts w:eastAsia="Times New Roman"/>
          <w:i/>
          <w:iCs/>
          <w:szCs w:val="20"/>
          <w:lang w:val="fr-FR" w:eastAsia="fr-LU"/>
        </w:rPr>
        <w:t>à compter de leur nomination aux fonctions de procureur européen délégué et jusqu’à leur révocation, les procureurs européens délégués doivent être membres actifs du ministère public ou du corps judiciaire de l’Etat membre qui les a désignés. Ils doivent offrir toutes garanties d’indépendance, disposer des qualifications requises et posséder une expérience pratique pertinente de leur ordre juridique national</w:t>
      </w:r>
      <w:r w:rsidR="004267CC" w:rsidRPr="004267CC">
        <w:rPr>
          <w:rFonts w:eastAsia="Times New Roman"/>
          <w:szCs w:val="20"/>
          <w:lang w:val="fr-FR" w:eastAsia="fr-LU"/>
        </w:rPr>
        <w:t>. »</w:t>
      </w:r>
    </w:p>
    <w:p w:rsidR="004267CC" w:rsidRDefault="004267CC" w:rsidP="00E77172">
      <w:pPr>
        <w:rPr>
          <w:rFonts w:eastAsia="Times New Roman"/>
          <w:szCs w:val="20"/>
          <w:lang w:val="fr-FR" w:eastAsia="fr-LU"/>
        </w:rPr>
      </w:pPr>
    </w:p>
    <w:p w:rsidR="00164237" w:rsidRDefault="00164237" w:rsidP="00E77172">
      <w:pPr>
        <w:rPr>
          <w:rFonts w:eastAsia="Times New Roman"/>
          <w:szCs w:val="20"/>
          <w:lang w:val="fr-FR" w:eastAsia="fr-LU"/>
        </w:rPr>
      </w:pPr>
      <w:r>
        <w:rPr>
          <w:rFonts w:eastAsia="Times New Roman"/>
          <w:szCs w:val="20"/>
          <w:lang w:val="fr-FR" w:eastAsia="fr-LU"/>
        </w:rPr>
        <w:t>Les deux procureurs européens délégués</w:t>
      </w:r>
      <w:r w:rsidRPr="00164237">
        <w:rPr>
          <w:rFonts w:eastAsia="Times New Roman"/>
          <w:szCs w:val="20"/>
          <w:lang w:val="fr-FR" w:eastAsia="fr-LU"/>
        </w:rPr>
        <w:t xml:space="preserve"> peuvent être soit membre actif du ministère public, soit du corps judiciaire</w:t>
      </w:r>
      <w:r>
        <w:rPr>
          <w:rFonts w:eastAsia="Times New Roman"/>
          <w:szCs w:val="20"/>
          <w:lang w:val="fr-FR" w:eastAsia="fr-LU"/>
        </w:rPr>
        <w:t xml:space="preserve">. </w:t>
      </w:r>
      <w:r w:rsidR="00E26A37">
        <w:rPr>
          <w:rFonts w:eastAsia="Times New Roman"/>
          <w:szCs w:val="20"/>
          <w:lang w:val="fr-FR" w:eastAsia="fr-LU"/>
        </w:rPr>
        <w:t>Ils ont le grade de substitut principal et sont libérés pour la durée de leur mandat qui est de cinq ans</w:t>
      </w:r>
      <w:r w:rsidR="00297871">
        <w:rPr>
          <w:rFonts w:eastAsia="Times New Roman"/>
          <w:szCs w:val="20"/>
          <w:lang w:val="fr-FR" w:eastAsia="fr-LU"/>
        </w:rPr>
        <w:t xml:space="preserve"> et qui est renouvelable</w:t>
      </w:r>
      <w:r w:rsidR="00E26A37">
        <w:rPr>
          <w:rFonts w:eastAsia="Times New Roman"/>
          <w:szCs w:val="20"/>
          <w:lang w:val="fr-FR" w:eastAsia="fr-LU"/>
        </w:rPr>
        <w:t xml:space="preserve">. </w:t>
      </w:r>
    </w:p>
    <w:p w:rsidR="00164237" w:rsidRDefault="00164237" w:rsidP="00E77172">
      <w:pPr>
        <w:rPr>
          <w:rFonts w:eastAsia="Times New Roman"/>
          <w:szCs w:val="20"/>
          <w:lang w:val="fr-FR" w:eastAsia="fr-LU"/>
        </w:rPr>
      </w:pPr>
    </w:p>
    <w:p w:rsidR="00D26FC1" w:rsidRPr="00D26FC1" w:rsidRDefault="00D26FC1" w:rsidP="00D26FC1">
      <w:pPr>
        <w:rPr>
          <w:rFonts w:eastAsia="Times New Roman"/>
          <w:iCs/>
          <w:szCs w:val="20"/>
          <w:lang w:val="fr-FR" w:eastAsia="fr-LU"/>
        </w:rPr>
      </w:pPr>
      <w:r>
        <w:rPr>
          <w:rFonts w:eastAsia="Times New Roman"/>
          <w:iCs/>
          <w:szCs w:val="20"/>
          <w:lang w:val="fr-FR" w:eastAsia="fr-LU"/>
        </w:rPr>
        <w:t>Le dernier alinéa de l’article sous rubrique</w:t>
      </w:r>
      <w:r w:rsidRPr="00D26FC1">
        <w:rPr>
          <w:rFonts w:eastAsia="Times New Roman"/>
          <w:iCs/>
          <w:szCs w:val="20"/>
          <w:lang w:val="fr-FR" w:eastAsia="fr-LU"/>
        </w:rPr>
        <w:t xml:space="preserve"> </w:t>
      </w:r>
      <w:r w:rsidRPr="00D26FC1">
        <w:rPr>
          <w:rFonts w:eastAsia="Times New Roman"/>
          <w:szCs w:val="20"/>
          <w:lang w:eastAsia="fr-LU"/>
        </w:rPr>
        <w:t>est destiné à garantir aux procureurs européens délégués l’intégralité des droits dont bénéficient les magistrats du corps judiciaire, par exemple en matière de pensions et de congés.</w:t>
      </w:r>
    </w:p>
    <w:p w:rsidR="00D26FC1" w:rsidRPr="008211CB" w:rsidRDefault="00D26FC1" w:rsidP="00E77172">
      <w:pPr>
        <w:rPr>
          <w:rFonts w:eastAsia="Times New Roman"/>
          <w:szCs w:val="20"/>
          <w:lang w:val="fr-FR" w:eastAsia="fr-LU"/>
        </w:rPr>
      </w:pPr>
    </w:p>
    <w:p w:rsidR="00E77172" w:rsidRDefault="00E77172" w:rsidP="00B07CFD">
      <w:pPr>
        <w:rPr>
          <w:u w:val="single"/>
          <w:lang w:val="fr-FR"/>
        </w:rPr>
      </w:pPr>
    </w:p>
    <w:p w:rsidR="00D948F6" w:rsidRDefault="00D948F6" w:rsidP="00B07CFD">
      <w:pPr>
        <w:rPr>
          <w:u w:val="single"/>
          <w:lang w:val="fr-FR"/>
        </w:rPr>
      </w:pPr>
      <w:r w:rsidRPr="00A43F8E">
        <w:rPr>
          <w:sz w:val="24"/>
          <w:szCs w:val="24"/>
          <w:u w:val="single"/>
        </w:rPr>
        <w:t>Art</w:t>
      </w:r>
      <w:r>
        <w:rPr>
          <w:sz w:val="24"/>
          <w:szCs w:val="24"/>
          <w:u w:val="single"/>
        </w:rPr>
        <w:t>icle</w:t>
      </w:r>
      <w:r w:rsidRPr="00A43F8E">
        <w:rPr>
          <w:sz w:val="24"/>
          <w:szCs w:val="24"/>
          <w:u w:val="single"/>
        </w:rPr>
        <w:t xml:space="preserve"> 75-8</w:t>
      </w:r>
      <w:r w:rsidRPr="00A43F8E">
        <w:rPr>
          <w:i/>
          <w:iCs/>
          <w:sz w:val="24"/>
          <w:szCs w:val="24"/>
          <w:u w:val="single"/>
        </w:rPr>
        <w:t>ter</w:t>
      </w:r>
      <w:r>
        <w:rPr>
          <w:i/>
          <w:iCs/>
          <w:sz w:val="24"/>
          <w:szCs w:val="24"/>
          <w:u w:val="single"/>
        </w:rPr>
        <w:t>.</w:t>
      </w:r>
    </w:p>
    <w:p w:rsidR="00D948F6" w:rsidRDefault="00D948F6" w:rsidP="00B07CFD">
      <w:pPr>
        <w:rPr>
          <w:u w:val="single"/>
          <w:lang w:val="fr-FR"/>
        </w:rPr>
      </w:pPr>
    </w:p>
    <w:p w:rsidR="00133F86" w:rsidRDefault="00E137C4" w:rsidP="00E137C4">
      <w:pPr>
        <w:rPr>
          <w:lang w:val="fr-FR" w:eastAsia="fr-LU"/>
        </w:rPr>
      </w:pPr>
      <w:r w:rsidRPr="00E137C4">
        <w:rPr>
          <w:lang w:val="fr-FR" w:eastAsia="fr-LU"/>
        </w:rPr>
        <w:t xml:space="preserve">L’article </w:t>
      </w:r>
      <w:r w:rsidRPr="00AC58C3">
        <w:rPr>
          <w:lang w:val="fr-FR" w:eastAsia="fr-LU"/>
        </w:rPr>
        <w:t>75-8</w:t>
      </w:r>
      <w:r w:rsidRPr="00AC58C3">
        <w:rPr>
          <w:i/>
          <w:lang w:val="fr-FR" w:eastAsia="fr-LU"/>
        </w:rPr>
        <w:t>ter</w:t>
      </w:r>
      <w:r w:rsidRPr="00AC58C3">
        <w:rPr>
          <w:lang w:val="fr-FR" w:eastAsia="fr-LU"/>
        </w:rPr>
        <w:t>.</w:t>
      </w:r>
      <w:r w:rsidR="00C157D0">
        <w:rPr>
          <w:lang w:val="fr-FR" w:eastAsia="fr-LU"/>
        </w:rPr>
        <w:t xml:space="preserve"> est le résultat d’une fusion opérée entre l’article 75-</w:t>
      </w:r>
      <w:r w:rsidR="002A5113">
        <w:rPr>
          <w:lang w:val="fr-FR" w:eastAsia="fr-LU"/>
        </w:rPr>
        <w:t>8</w:t>
      </w:r>
      <w:r w:rsidR="002A5113" w:rsidRPr="002A5113">
        <w:rPr>
          <w:i/>
          <w:iCs/>
          <w:lang w:val="fr-FR" w:eastAsia="fr-LU"/>
        </w:rPr>
        <w:t>sexies</w:t>
      </w:r>
      <w:r w:rsidR="002A5113">
        <w:rPr>
          <w:lang w:val="fr-FR" w:eastAsia="fr-LU"/>
        </w:rPr>
        <w:t>. et l’ancien article</w:t>
      </w:r>
      <w:r w:rsidR="004116FB">
        <w:rPr>
          <w:lang w:val="fr-FR" w:eastAsia="fr-LU"/>
        </w:rPr>
        <w:t> </w:t>
      </w:r>
      <w:r w:rsidR="002A5113">
        <w:rPr>
          <w:lang w:val="fr-FR" w:eastAsia="fr-LU"/>
        </w:rPr>
        <w:t>2 du projet de loi</w:t>
      </w:r>
      <w:r w:rsidR="00723F4F">
        <w:rPr>
          <w:lang w:val="fr-FR" w:eastAsia="fr-LU"/>
        </w:rPr>
        <w:t xml:space="preserve"> </w:t>
      </w:r>
      <w:r w:rsidR="00723F4F" w:rsidRPr="00723F4F">
        <w:rPr>
          <w:lang w:val="fr-FR" w:eastAsia="fr-LU"/>
        </w:rPr>
        <w:t>relatif à certains aspects de la rémunération des procureurs européens délégués et aux droits des magistrats</w:t>
      </w:r>
      <w:r w:rsidR="002A5113">
        <w:rPr>
          <w:lang w:val="fr-FR" w:eastAsia="fr-LU"/>
        </w:rPr>
        <w:t xml:space="preserve">. </w:t>
      </w:r>
      <w:r w:rsidR="00723F4F">
        <w:rPr>
          <w:lang w:val="fr-FR" w:eastAsia="fr-LU"/>
        </w:rPr>
        <w:t>Le Conseil d’Etat préconise l’intégration de cett</w:t>
      </w:r>
      <w:r w:rsidR="000549C5">
        <w:rPr>
          <w:lang w:val="fr-FR" w:eastAsia="fr-LU"/>
        </w:rPr>
        <w:t xml:space="preserve">e disposition directement dans </w:t>
      </w:r>
      <w:r w:rsidR="00723F4F" w:rsidRPr="006C594E">
        <w:rPr>
          <w:color w:val="000000"/>
          <w:lang w:val="fr-CH"/>
        </w:rPr>
        <w:t>la loi précitée du 7 mars 1980</w:t>
      </w:r>
      <w:r w:rsidR="000549C5" w:rsidRPr="006C594E">
        <w:rPr>
          <w:color w:val="000000"/>
          <w:lang w:val="fr-CH"/>
        </w:rPr>
        <w:t>.</w:t>
      </w:r>
      <w:r w:rsidR="000549C5">
        <w:rPr>
          <w:color w:val="000000"/>
          <w:sz w:val="24"/>
          <w:szCs w:val="24"/>
          <w:lang w:val="fr-CH"/>
        </w:rPr>
        <w:t xml:space="preserve"> </w:t>
      </w:r>
    </w:p>
    <w:p w:rsidR="00133F86" w:rsidRDefault="00133F86" w:rsidP="00E137C4">
      <w:pPr>
        <w:rPr>
          <w:lang w:val="fr-FR" w:eastAsia="fr-LU"/>
        </w:rPr>
      </w:pPr>
    </w:p>
    <w:p w:rsidR="00E137C4" w:rsidRDefault="002A5113" w:rsidP="00E137C4">
      <w:pPr>
        <w:rPr>
          <w:lang w:val="fr-FR" w:eastAsia="fr-LU"/>
        </w:rPr>
      </w:pPr>
      <w:r>
        <w:rPr>
          <w:lang w:val="fr-FR" w:eastAsia="fr-LU"/>
        </w:rPr>
        <w:t xml:space="preserve">Ce libellé </w:t>
      </w:r>
      <w:r w:rsidR="00B4021C">
        <w:rPr>
          <w:lang w:val="fr-FR" w:eastAsia="fr-LU"/>
        </w:rPr>
        <w:t xml:space="preserve">proposé </w:t>
      </w:r>
      <w:r w:rsidR="00B906C8">
        <w:rPr>
          <w:lang w:val="fr-FR" w:eastAsia="fr-LU"/>
        </w:rPr>
        <w:t xml:space="preserve">résulte d’une proposition de texte émise </w:t>
      </w:r>
      <w:r>
        <w:rPr>
          <w:lang w:val="fr-FR" w:eastAsia="fr-LU"/>
        </w:rPr>
        <w:t xml:space="preserve">par le Conseil d’Etat </w:t>
      </w:r>
      <w:r w:rsidR="00417DB0">
        <w:rPr>
          <w:lang w:val="fr-FR" w:eastAsia="fr-LU"/>
        </w:rPr>
        <w:t xml:space="preserve">et vise à </w:t>
      </w:r>
      <w:r w:rsidR="00CF171D" w:rsidRPr="00CF171D">
        <w:rPr>
          <w:lang w:val="fr-FR" w:eastAsia="fr-LU"/>
        </w:rPr>
        <w:t>r</w:t>
      </w:r>
      <w:r w:rsidR="00417DB0">
        <w:rPr>
          <w:lang w:val="fr-FR" w:eastAsia="fr-LU"/>
        </w:rPr>
        <w:t>égler</w:t>
      </w:r>
      <w:r w:rsidR="00CF171D" w:rsidRPr="00CF171D">
        <w:rPr>
          <w:lang w:val="fr-FR" w:eastAsia="fr-LU"/>
        </w:rPr>
        <w:t xml:space="preserve"> la réintégration des procureurs européens délégués au terme de leur mandat. </w:t>
      </w:r>
      <w:r w:rsidR="00695D21">
        <w:rPr>
          <w:lang w:val="fr-FR" w:eastAsia="fr-LU"/>
        </w:rPr>
        <w:t>En effet, ces magistrats</w:t>
      </w:r>
      <w:r w:rsidR="00CF171D" w:rsidRPr="00CF171D">
        <w:rPr>
          <w:lang w:val="fr-FR" w:eastAsia="fr-LU"/>
        </w:rPr>
        <w:t xml:space="preserve"> sont réintégrés à un poste équivalent à la fonction qu’ils exerçaient auparavant. Au cas où il n’y aurait pas de vacance de poste adéquat, en raison par exemple du nombre limité par la loi de certaines fonctions, le magistrat concerné sera réintégré par dépassement des effectifs.</w:t>
      </w:r>
    </w:p>
    <w:p w:rsidR="00695D21" w:rsidRDefault="00695D21" w:rsidP="00E137C4">
      <w:pPr>
        <w:rPr>
          <w:lang w:val="fr-FR" w:eastAsia="fr-LU"/>
        </w:rPr>
      </w:pPr>
    </w:p>
    <w:p w:rsidR="002A5113" w:rsidRDefault="00C54453" w:rsidP="00E137C4">
      <w:pPr>
        <w:rPr>
          <w:iCs/>
          <w:lang w:val="fr-FR" w:eastAsia="fr-LU"/>
        </w:rPr>
      </w:pPr>
      <w:r>
        <w:rPr>
          <w:iCs/>
          <w:lang w:val="fr-FR" w:eastAsia="fr-LU"/>
        </w:rPr>
        <w:t xml:space="preserve">Il </w:t>
      </w:r>
      <w:r w:rsidRPr="00C54453">
        <w:rPr>
          <w:iCs/>
          <w:lang w:val="fr-FR" w:eastAsia="fr-LU"/>
        </w:rPr>
        <w:t xml:space="preserve">est prévu que la rémunération des procureurs européens délégués pendant leur mandat, ne doit, et ne peut, en aucun cas être inférieure à celle dont ils bénéficiaient avant leur entrée en fonction. Il est également prévu </w:t>
      </w:r>
      <w:r w:rsidR="0076061D">
        <w:rPr>
          <w:iCs/>
          <w:lang w:val="fr-FR" w:eastAsia="fr-LU"/>
        </w:rPr>
        <w:t xml:space="preserve">au sein </w:t>
      </w:r>
      <w:r w:rsidR="002D77A0">
        <w:rPr>
          <w:iCs/>
          <w:lang w:val="fr-FR" w:eastAsia="fr-LU"/>
        </w:rPr>
        <w:t xml:space="preserve">du </w:t>
      </w:r>
      <w:r w:rsidR="0076061D">
        <w:rPr>
          <w:iCs/>
          <w:lang w:val="fr-FR" w:eastAsia="fr-LU"/>
        </w:rPr>
        <w:t xml:space="preserve">règlement </w:t>
      </w:r>
      <w:r w:rsidR="0076061D" w:rsidRPr="0076061D">
        <w:rPr>
          <w:iCs/>
          <w:lang w:val="fr-FR" w:eastAsia="fr-LU"/>
        </w:rPr>
        <w:t>(UE) 2017/1939</w:t>
      </w:r>
      <w:r w:rsidR="0076061D">
        <w:rPr>
          <w:iCs/>
          <w:lang w:val="fr-FR" w:eastAsia="fr-LU"/>
        </w:rPr>
        <w:t>, à l’endroit de</w:t>
      </w:r>
      <w:r w:rsidRPr="00C54453">
        <w:rPr>
          <w:iCs/>
          <w:lang w:val="fr-FR" w:eastAsia="fr-LU"/>
        </w:rPr>
        <w:t xml:space="preserve"> l’article 96, paragraphe 6 que « </w:t>
      </w:r>
      <w:r w:rsidRPr="00C54453">
        <w:rPr>
          <w:i/>
          <w:iCs/>
          <w:lang w:val="fr-FR" w:eastAsia="fr-LU"/>
        </w:rPr>
        <w:t>des arrangements appropriés doivent être en place pour préserver les droits des procureurs européens délégués liés à la sécurité sociale, à la retraite et à l’assurance en application du régime national</w:t>
      </w:r>
      <w:r w:rsidRPr="00C54453">
        <w:rPr>
          <w:iCs/>
          <w:lang w:val="fr-FR" w:eastAsia="fr-LU"/>
        </w:rPr>
        <w:t xml:space="preserve"> ». </w:t>
      </w:r>
      <w:r w:rsidR="005B00B8">
        <w:rPr>
          <w:iCs/>
          <w:lang w:val="fr-FR" w:eastAsia="fr-LU"/>
        </w:rPr>
        <w:t>L’article sous rubrique vise</w:t>
      </w:r>
      <w:r w:rsidRPr="00C54453">
        <w:rPr>
          <w:iCs/>
          <w:lang w:val="fr-FR" w:eastAsia="fr-LU"/>
        </w:rPr>
        <w:t xml:space="preserve"> </w:t>
      </w:r>
      <w:r w:rsidR="002D77A0">
        <w:rPr>
          <w:iCs/>
          <w:lang w:val="fr-FR" w:eastAsia="fr-LU"/>
        </w:rPr>
        <w:t xml:space="preserve">à </w:t>
      </w:r>
      <w:r w:rsidRPr="00C54453">
        <w:rPr>
          <w:iCs/>
          <w:lang w:val="fr-FR" w:eastAsia="fr-LU"/>
        </w:rPr>
        <w:t xml:space="preserve">garantir les droits des procureurs européens en matière de sécurité sociale. </w:t>
      </w:r>
    </w:p>
    <w:p w:rsidR="002B1ECA" w:rsidRDefault="002B1ECA" w:rsidP="00E137C4">
      <w:pPr>
        <w:rPr>
          <w:iCs/>
          <w:lang w:val="fr-FR" w:eastAsia="fr-LU"/>
        </w:rPr>
      </w:pPr>
    </w:p>
    <w:p w:rsidR="002A5113" w:rsidRPr="0076061D" w:rsidRDefault="002B1ECA" w:rsidP="00E137C4">
      <w:pPr>
        <w:rPr>
          <w:iCs/>
          <w:lang w:val="fr-FR" w:eastAsia="fr-LU"/>
        </w:rPr>
      </w:pPr>
      <w:r>
        <w:rPr>
          <w:iCs/>
          <w:lang w:val="fr-FR" w:eastAsia="fr-LU"/>
        </w:rPr>
        <w:t xml:space="preserve">A noter que l’article 2 initial du projet de loi avait fait référence </w:t>
      </w:r>
      <w:r w:rsidR="000529A1">
        <w:rPr>
          <w:iCs/>
          <w:lang w:val="fr-FR" w:eastAsia="fr-LU"/>
        </w:rPr>
        <w:t xml:space="preserve">également à l’impôt sur le revenu. </w:t>
      </w:r>
      <w:r w:rsidR="000529A1">
        <w:rPr>
          <w:lang w:val="fr-CH" w:eastAsia="fr-LU"/>
        </w:rPr>
        <w:t xml:space="preserve">Le Conseil d’Etat regarde d’un œil critique le texte proposé par les auteurs du projet de loi et fait observer que «  </w:t>
      </w:r>
      <w:r w:rsidR="000529A1" w:rsidRPr="000529A1">
        <w:rPr>
          <w:i/>
          <w:iCs/>
          <w:lang w:val="fr-CH" w:eastAsia="fr-LU"/>
        </w:rPr>
        <w:t>[…] Si le système mis en place est à comprendre en ce sens que les procureurs européens délégués devraient assurer eux-mêmes leur couverture sociale pendant la durée de leur mandat, le Conseil d’État comprend que l’État luxembourgeois assume les cotisations sociales y afférentes. Il ne saurait toutefois admettre que l’État assume également le paiement des impôts à payer sur la rémunération versée au titre du budget européen, ni des impôts éventuellement dus par le procureur européen délégué en raison d’autres revenus, que ce soit au Luxembourg ou, le cas échéant, dans un autre État […]</w:t>
      </w:r>
      <w:r w:rsidR="000529A1">
        <w:rPr>
          <w:lang w:val="fr-CH" w:eastAsia="fr-LU"/>
        </w:rPr>
        <w:t> »</w:t>
      </w:r>
      <w:r w:rsidR="000529A1" w:rsidRPr="000529A1">
        <w:rPr>
          <w:lang w:val="fr-CH" w:eastAsia="fr-LU"/>
        </w:rPr>
        <w:t>.</w:t>
      </w:r>
    </w:p>
    <w:p w:rsidR="003157BE" w:rsidRDefault="003157BE" w:rsidP="00E137C4">
      <w:pPr>
        <w:rPr>
          <w:lang w:val="fr-CH" w:eastAsia="fr-LU"/>
        </w:rPr>
      </w:pPr>
    </w:p>
    <w:p w:rsidR="003157BE" w:rsidRDefault="003157BE" w:rsidP="00E137C4">
      <w:pPr>
        <w:rPr>
          <w:lang w:val="fr-CH" w:eastAsia="fr-LU"/>
        </w:rPr>
      </w:pPr>
      <w:r>
        <w:rPr>
          <w:lang w:val="fr-CH" w:eastAsia="fr-LU"/>
        </w:rPr>
        <w:t xml:space="preserve">La Commission de la Justice juge utile de reprendre le libellé proposé par le Conseil d’Etat. </w:t>
      </w:r>
    </w:p>
    <w:p w:rsidR="00395220" w:rsidRDefault="00395220" w:rsidP="00E137C4">
      <w:pPr>
        <w:rPr>
          <w:lang w:val="fr-CH" w:eastAsia="fr-LU"/>
        </w:rPr>
      </w:pPr>
    </w:p>
    <w:p w:rsidR="00395220" w:rsidRPr="00E137C4" w:rsidRDefault="00395220" w:rsidP="00E137C4">
      <w:pPr>
        <w:rPr>
          <w:lang w:val="fr-FR" w:eastAsia="fr-LU"/>
        </w:rPr>
      </w:pPr>
    </w:p>
    <w:p w:rsidR="0017687A" w:rsidRDefault="0017687A" w:rsidP="0017687A">
      <w:pPr>
        <w:rPr>
          <w:u w:val="single"/>
          <w:lang w:val="fr-FR"/>
        </w:rPr>
      </w:pPr>
      <w:r w:rsidRPr="00A43F8E">
        <w:rPr>
          <w:sz w:val="24"/>
          <w:szCs w:val="24"/>
          <w:u w:val="single"/>
        </w:rPr>
        <w:t>Art</w:t>
      </w:r>
      <w:r>
        <w:rPr>
          <w:sz w:val="24"/>
          <w:szCs w:val="24"/>
          <w:u w:val="single"/>
        </w:rPr>
        <w:t>icle</w:t>
      </w:r>
      <w:r w:rsidRPr="00A43F8E">
        <w:rPr>
          <w:sz w:val="24"/>
          <w:szCs w:val="24"/>
          <w:u w:val="single"/>
        </w:rPr>
        <w:t xml:space="preserve"> 75-8</w:t>
      </w:r>
      <w:r>
        <w:rPr>
          <w:i/>
          <w:iCs/>
          <w:sz w:val="24"/>
          <w:szCs w:val="24"/>
          <w:u w:val="single"/>
        </w:rPr>
        <w:t>quater.</w:t>
      </w:r>
    </w:p>
    <w:p w:rsidR="00721015" w:rsidRDefault="00721015" w:rsidP="00B07CFD">
      <w:pPr>
        <w:rPr>
          <w:u w:val="single"/>
          <w:lang w:val="fr-FR"/>
        </w:rPr>
      </w:pPr>
    </w:p>
    <w:p w:rsidR="00D948F6" w:rsidRDefault="0033765F" w:rsidP="00B07CFD">
      <w:pPr>
        <w:rPr>
          <w:lang w:val="fr-FR"/>
        </w:rPr>
      </w:pPr>
      <w:r>
        <w:rPr>
          <w:lang w:val="fr-FR"/>
        </w:rPr>
        <w:t>L</w:t>
      </w:r>
      <w:r w:rsidRPr="0033765F">
        <w:rPr>
          <w:lang w:val="fr-FR"/>
        </w:rPr>
        <w:t xml:space="preserve">es procureurs européens délégués </w:t>
      </w:r>
      <w:r>
        <w:rPr>
          <w:lang w:val="fr-FR"/>
        </w:rPr>
        <w:t>seront assistés</w:t>
      </w:r>
      <w:r w:rsidRPr="0033765F">
        <w:rPr>
          <w:lang w:val="fr-FR"/>
        </w:rPr>
        <w:t xml:space="preserve"> </w:t>
      </w:r>
      <w:r w:rsidR="00D65EB2">
        <w:rPr>
          <w:lang w:val="fr-FR"/>
        </w:rPr>
        <w:t>d’</w:t>
      </w:r>
      <w:r w:rsidRPr="0033765F">
        <w:rPr>
          <w:lang w:val="fr-FR"/>
        </w:rPr>
        <w:t>un secrétariat dans le</w:t>
      </w:r>
      <w:r>
        <w:rPr>
          <w:lang w:val="fr-FR"/>
        </w:rPr>
        <w:t>ur</w:t>
      </w:r>
      <w:r w:rsidRPr="0033765F">
        <w:rPr>
          <w:lang w:val="fr-FR"/>
        </w:rPr>
        <w:t xml:space="preserve">s tâches administratives courantes. </w:t>
      </w:r>
      <w:r>
        <w:rPr>
          <w:lang w:val="fr-FR"/>
        </w:rPr>
        <w:t>L</w:t>
      </w:r>
      <w:r w:rsidRPr="0033765F">
        <w:rPr>
          <w:lang w:val="fr-FR"/>
        </w:rPr>
        <w:t>e personnel engagé au titre du secrétariat relève de l’administration judiciaire.</w:t>
      </w:r>
      <w:r w:rsidR="00721015">
        <w:rPr>
          <w:lang w:val="fr-FR"/>
        </w:rPr>
        <w:t xml:space="preserve"> </w:t>
      </w:r>
    </w:p>
    <w:p w:rsidR="005C03E8" w:rsidRDefault="005C03E8" w:rsidP="00B07CFD">
      <w:pPr>
        <w:rPr>
          <w:lang w:val="fr-FR"/>
        </w:rPr>
      </w:pPr>
    </w:p>
    <w:p w:rsidR="005C03E8" w:rsidRPr="00AE722E" w:rsidRDefault="005C03E8" w:rsidP="005C03E8">
      <w:pPr>
        <w:rPr>
          <w:lang w:val="fr-FR"/>
        </w:rPr>
      </w:pPr>
      <w:r w:rsidRPr="00AE722E">
        <w:rPr>
          <w:lang w:val="fr-FR"/>
        </w:rPr>
        <w:t xml:space="preserve">Dans son avis du 4 mars 2021, le Conseil </w:t>
      </w:r>
      <w:r>
        <w:rPr>
          <w:lang w:val="fr-FR"/>
        </w:rPr>
        <w:t xml:space="preserve">d’Etat regarde d’un œil critique le libellé proposé par les auteurs du projet de loi et préconise une reformulation de ce dernier. </w:t>
      </w:r>
    </w:p>
    <w:p w:rsidR="005C03E8" w:rsidRDefault="005C03E8" w:rsidP="00B07CFD">
      <w:pPr>
        <w:rPr>
          <w:lang w:val="fr-FR"/>
        </w:rPr>
      </w:pPr>
    </w:p>
    <w:p w:rsidR="005C03E8" w:rsidRPr="0033765F" w:rsidRDefault="005C03E8" w:rsidP="005C03E8">
      <w:pPr>
        <w:rPr>
          <w:lang w:val="fr-FR"/>
        </w:rPr>
      </w:pPr>
      <w:r w:rsidRPr="00D51C45">
        <w:rPr>
          <w:lang w:val="fr-CH" w:eastAsia="fr-LU"/>
        </w:rPr>
        <w:t xml:space="preserve">Le procureur européen </w:t>
      </w:r>
      <w:r w:rsidR="009E422D">
        <w:rPr>
          <w:lang w:val="fr-CH" w:eastAsia="fr-LU"/>
        </w:rPr>
        <w:t>est</w:t>
      </w:r>
      <w:r w:rsidRPr="00D51C45">
        <w:rPr>
          <w:lang w:val="fr-CH" w:eastAsia="fr-LU"/>
        </w:rPr>
        <w:t xml:space="preserve"> assisté par ledit secrétariat administratif</w:t>
      </w:r>
      <w:r w:rsidR="00D51C45" w:rsidRPr="00D51C45">
        <w:rPr>
          <w:lang w:val="fr-CH" w:eastAsia="fr-LU"/>
        </w:rPr>
        <w:t>,</w:t>
      </w:r>
      <w:r w:rsidRPr="00D51C45">
        <w:rPr>
          <w:lang w:val="fr-CH" w:eastAsia="fr-LU"/>
        </w:rPr>
        <w:t xml:space="preserve"> au cas où il mènerait une enquête au Luxembourg relevant de ses compétences matérielles.</w:t>
      </w:r>
    </w:p>
    <w:p w:rsidR="00842A08" w:rsidRDefault="00842A08" w:rsidP="00B07CFD">
      <w:pPr>
        <w:rPr>
          <w:lang w:val="fr-FR"/>
        </w:rPr>
      </w:pPr>
    </w:p>
    <w:p w:rsidR="00B055CB" w:rsidRPr="0033765F" w:rsidRDefault="00B055CB" w:rsidP="00B07CFD">
      <w:pPr>
        <w:rPr>
          <w:lang w:val="fr-FR"/>
        </w:rPr>
      </w:pPr>
      <w:r w:rsidRPr="005C03E8">
        <w:rPr>
          <w:lang w:val="fr-CH" w:eastAsia="fr-LU"/>
        </w:rPr>
        <w:t xml:space="preserve">La Commission de la Justice fait sienne la reformulation proposée par le Conseil d’Etat. </w:t>
      </w:r>
    </w:p>
    <w:p w:rsidR="0017687A" w:rsidRDefault="0017687A" w:rsidP="00B07CFD">
      <w:pPr>
        <w:rPr>
          <w:u w:val="single"/>
          <w:lang w:val="fr-FR"/>
        </w:rPr>
      </w:pPr>
    </w:p>
    <w:p w:rsidR="00D948F6" w:rsidRPr="009433E5" w:rsidRDefault="00D948F6" w:rsidP="00B07CFD">
      <w:pPr>
        <w:rPr>
          <w:u w:val="single"/>
          <w:lang w:val="fr-FR"/>
        </w:rPr>
      </w:pPr>
    </w:p>
    <w:p w:rsidR="008F0C6D" w:rsidRPr="009433E5" w:rsidRDefault="008F0C6D" w:rsidP="00B07CFD">
      <w:pPr>
        <w:rPr>
          <w:b/>
          <w:bCs/>
          <w:lang w:val="fr-FR"/>
        </w:rPr>
      </w:pPr>
      <w:r w:rsidRPr="009433E5">
        <w:rPr>
          <w:b/>
          <w:bCs/>
          <w:lang w:val="fr-FR"/>
        </w:rPr>
        <w:t>Art</w:t>
      </w:r>
      <w:r w:rsidR="00882B15">
        <w:rPr>
          <w:b/>
          <w:bCs/>
          <w:lang w:val="fr-FR"/>
        </w:rPr>
        <w:t xml:space="preserve">icle </w:t>
      </w:r>
      <w:r w:rsidRPr="009433E5">
        <w:rPr>
          <w:b/>
          <w:bCs/>
          <w:lang w:val="fr-FR"/>
        </w:rPr>
        <w:t>2</w:t>
      </w:r>
      <w:r w:rsidR="00882B15">
        <w:rPr>
          <w:b/>
          <w:bCs/>
          <w:lang w:val="fr-FR"/>
        </w:rPr>
        <w:t xml:space="preserve"> initial </w:t>
      </w:r>
      <w:r w:rsidR="00BC1B74">
        <w:rPr>
          <w:b/>
          <w:bCs/>
          <w:lang w:val="fr-FR"/>
        </w:rPr>
        <w:t xml:space="preserve">du projet de loi </w:t>
      </w:r>
      <w:r w:rsidR="00882B15">
        <w:rPr>
          <w:b/>
          <w:bCs/>
          <w:lang w:val="fr-FR"/>
        </w:rPr>
        <w:t>(supprimé)</w:t>
      </w:r>
    </w:p>
    <w:p w:rsidR="008F0C6D" w:rsidRDefault="008F0C6D" w:rsidP="00B07CFD">
      <w:pPr>
        <w:rPr>
          <w:lang w:val="fr-FR"/>
        </w:rPr>
      </w:pPr>
    </w:p>
    <w:p w:rsidR="00395220" w:rsidRPr="00276D14" w:rsidRDefault="00395220" w:rsidP="00B07CFD">
      <w:pPr>
        <w:rPr>
          <w:lang w:val="fr-FR"/>
        </w:rPr>
      </w:pPr>
      <w:r>
        <w:rPr>
          <w:lang w:val="fr-FR"/>
        </w:rPr>
        <w:t xml:space="preserve">L’article 2 </w:t>
      </w:r>
      <w:r w:rsidR="00B055CB">
        <w:rPr>
          <w:lang w:val="fr-FR"/>
        </w:rPr>
        <w:t xml:space="preserve">initial </w:t>
      </w:r>
      <w:r>
        <w:rPr>
          <w:lang w:val="fr-FR"/>
        </w:rPr>
        <w:t>du projet de loi a été supprimé</w:t>
      </w:r>
      <w:r w:rsidR="009D3589">
        <w:rPr>
          <w:lang w:val="fr-FR"/>
        </w:rPr>
        <w:t xml:space="preserve"> du projet de loi sous rubrique</w:t>
      </w:r>
      <w:r>
        <w:rPr>
          <w:lang w:val="fr-FR"/>
        </w:rPr>
        <w:t xml:space="preserve">. Pour tout </w:t>
      </w:r>
      <w:r w:rsidR="009D3589">
        <w:rPr>
          <w:lang w:val="fr-FR"/>
        </w:rPr>
        <w:t xml:space="preserve">détail complémentaire, il est renvoyé au commentaire de l’article </w:t>
      </w:r>
      <w:r w:rsidR="009D3589" w:rsidRPr="009D3589">
        <w:rPr>
          <w:lang w:val="fr-FR"/>
        </w:rPr>
        <w:t>75-8ter.</w:t>
      </w:r>
    </w:p>
    <w:p w:rsidR="009433E5" w:rsidRDefault="009433E5" w:rsidP="009433E5">
      <w:pPr>
        <w:rPr>
          <w:rFonts w:eastAsia="Times New Roman"/>
          <w:bCs/>
          <w:szCs w:val="20"/>
          <w:lang w:val="fr-FR" w:eastAsia="fr-LU"/>
        </w:rPr>
      </w:pPr>
    </w:p>
    <w:p w:rsidR="00935A1A" w:rsidRDefault="00935A1A" w:rsidP="000B67D5">
      <w:pPr>
        <w:rPr>
          <w:rFonts w:eastAsia="Times New Roman"/>
          <w:bCs/>
          <w:szCs w:val="20"/>
          <w:lang w:val="fr-FR" w:eastAsia="fr-LU"/>
        </w:rPr>
      </w:pPr>
    </w:p>
    <w:p w:rsidR="00017861" w:rsidRPr="00CF6FC1" w:rsidRDefault="00E77172" w:rsidP="00CF6FC1">
      <w:pPr>
        <w:jc w:val="center"/>
        <w:rPr>
          <w:b/>
          <w:bCs/>
        </w:rPr>
      </w:pPr>
      <w:r w:rsidRPr="00E77172">
        <w:rPr>
          <w:b/>
          <w:bCs/>
        </w:rPr>
        <w:t>*</w:t>
      </w:r>
      <w:r w:rsidR="00FC705C" w:rsidRPr="00E77172">
        <w:rPr>
          <w:b/>
          <w:bCs/>
        </w:rPr>
        <w:br w:type="page"/>
      </w:r>
    </w:p>
    <w:p w:rsidR="00CF6FC1" w:rsidRDefault="00CF6FC1" w:rsidP="00FC705C">
      <w:pPr>
        <w:ind w:left="708" w:hanging="708"/>
        <w:jc w:val="center"/>
        <w:rPr>
          <w:b/>
          <w:bCs/>
          <w:u w:val="single"/>
          <w:lang w:val="fr-FR"/>
        </w:rPr>
      </w:pPr>
    </w:p>
    <w:p w:rsidR="00FC705C" w:rsidRDefault="00FC705C" w:rsidP="00FC705C">
      <w:pPr>
        <w:ind w:left="708" w:hanging="708"/>
        <w:jc w:val="center"/>
        <w:rPr>
          <w:b/>
          <w:bCs/>
          <w:u w:val="single"/>
          <w:lang w:val="fr-FR"/>
        </w:rPr>
      </w:pPr>
      <w:r w:rsidRPr="001B4CBD">
        <w:rPr>
          <w:b/>
          <w:bCs/>
          <w:u w:val="single"/>
          <w:lang w:val="fr-FR"/>
        </w:rPr>
        <w:t>V</w:t>
      </w:r>
      <w:r w:rsidR="00CF6FC1">
        <w:rPr>
          <w:b/>
          <w:bCs/>
          <w:u w:val="single"/>
          <w:lang w:val="fr-FR"/>
        </w:rPr>
        <w:t>I</w:t>
      </w:r>
      <w:r w:rsidRPr="001B4CBD">
        <w:rPr>
          <w:b/>
          <w:bCs/>
          <w:u w:val="single"/>
          <w:lang w:val="fr-FR"/>
        </w:rPr>
        <w:t xml:space="preserve">. Texte </w:t>
      </w:r>
      <w:r w:rsidR="000F2239">
        <w:rPr>
          <w:b/>
          <w:bCs/>
          <w:u w:val="single"/>
          <w:lang w:val="fr-FR"/>
        </w:rPr>
        <w:t>coordonné</w:t>
      </w:r>
    </w:p>
    <w:p w:rsidR="00FC705C" w:rsidRPr="00962DB9" w:rsidRDefault="00FC705C" w:rsidP="00FC705C">
      <w:pPr>
        <w:rPr>
          <w:bCs/>
        </w:rPr>
      </w:pPr>
    </w:p>
    <w:p w:rsidR="00FC705C" w:rsidRDefault="00FC705C" w:rsidP="00FC705C">
      <w:pPr>
        <w:rPr>
          <w:bCs/>
        </w:rPr>
      </w:pPr>
      <w:r w:rsidRPr="00962DB9">
        <w:rPr>
          <w:bCs/>
        </w:rPr>
        <w:t xml:space="preserve">Sous le bénéfice des observations qui précèdent, la Commission de la Justice recommande à la Chambre des Députés d’adopter le projet de loi </w:t>
      </w:r>
      <w:r>
        <w:rPr>
          <w:bCs/>
        </w:rPr>
        <w:t>n° 7</w:t>
      </w:r>
      <w:r w:rsidR="00934238">
        <w:rPr>
          <w:bCs/>
        </w:rPr>
        <w:t>7</w:t>
      </w:r>
      <w:r w:rsidR="00B040DA">
        <w:rPr>
          <w:bCs/>
        </w:rPr>
        <w:t xml:space="preserve">60 </w:t>
      </w:r>
      <w:r w:rsidRPr="00962DB9">
        <w:rPr>
          <w:bCs/>
        </w:rPr>
        <w:t>dans la teneur qui suit :</w:t>
      </w:r>
    </w:p>
    <w:p w:rsidR="00271ED6" w:rsidRDefault="00271ED6" w:rsidP="00FC705C">
      <w:pPr>
        <w:rPr>
          <w:bCs/>
        </w:rPr>
      </w:pPr>
    </w:p>
    <w:p w:rsidR="005D7FB3" w:rsidRDefault="00764BD4" w:rsidP="005D7FB3">
      <w:pPr>
        <w:rPr>
          <w:b/>
          <w:bCs/>
          <w:sz w:val="24"/>
          <w:szCs w:val="24"/>
        </w:rPr>
      </w:pPr>
      <w:r w:rsidRPr="00764BD4">
        <w:rPr>
          <w:b/>
          <w:bCs/>
          <w:sz w:val="24"/>
          <w:szCs w:val="24"/>
        </w:rPr>
        <w:t>Projet de loi portant modification de la loi modifiée du 7 mars 1980 sur l’organisation judiciaire en vue de l’organisation de l’Office des procureurs européens délégués</w:t>
      </w:r>
    </w:p>
    <w:p w:rsidR="00764BD4" w:rsidRDefault="00764BD4" w:rsidP="005D7FB3">
      <w:pPr>
        <w:rPr>
          <w:rFonts w:ascii="Times New Roman" w:hAnsi="Times New Roman"/>
          <w:lang w:val="fr-FR" w:eastAsia="en-GB"/>
        </w:rPr>
      </w:pPr>
    </w:p>
    <w:p w:rsidR="00F703EF" w:rsidRPr="00F703EF" w:rsidRDefault="00CF6777" w:rsidP="00F703EF">
      <w:pPr>
        <w:rPr>
          <w:rFonts w:eastAsia="Times New Roman"/>
          <w:lang w:val="fr-FR"/>
        </w:rPr>
      </w:pPr>
      <w:r>
        <w:rPr>
          <w:rFonts w:eastAsia="Times New Roman"/>
          <w:lang w:val="fr-FR"/>
        </w:rPr>
        <w:t>Article unique.</w:t>
      </w:r>
      <w:r w:rsidR="00F703EF" w:rsidRPr="00F703EF">
        <w:rPr>
          <w:rFonts w:eastAsia="Times New Roman"/>
          <w:lang w:val="fr-FR"/>
        </w:rPr>
        <w:t xml:space="preserve"> À la suite de l’article 75-8 de la loi modifiée du 7 mars 1980 sur l’organisation judiciaire, il est i</w:t>
      </w:r>
      <w:bookmarkStart w:id="4" w:name="_Hlk66110258"/>
      <w:r w:rsidR="00F703EF" w:rsidRPr="00F703EF">
        <w:rPr>
          <w:rFonts w:eastAsia="Times New Roman"/>
          <w:lang w:val="fr-FR"/>
        </w:rPr>
        <w:t>nséré un nouveau paragraphe 3</w:t>
      </w:r>
      <w:r w:rsidR="00F703EF" w:rsidRPr="00F703EF">
        <w:rPr>
          <w:rFonts w:eastAsia="Times New Roman"/>
          <w:i/>
          <w:lang w:val="fr-FR"/>
        </w:rPr>
        <w:t>bis</w:t>
      </w:r>
      <w:r w:rsidR="00F703EF" w:rsidRPr="00F703EF">
        <w:rPr>
          <w:rFonts w:eastAsia="Times New Roman"/>
          <w:lang w:val="fr-FR"/>
        </w:rPr>
        <w:t>, intitulé « De l’</w:t>
      </w:r>
      <w:r w:rsidR="001C3B06">
        <w:rPr>
          <w:rFonts w:eastAsia="Times New Roman"/>
          <w:lang w:val="fr-FR"/>
        </w:rPr>
        <w:t>O</w:t>
      </w:r>
      <w:r w:rsidR="00F703EF" w:rsidRPr="00F703EF">
        <w:rPr>
          <w:rFonts w:eastAsia="Times New Roman"/>
          <w:lang w:val="fr-FR"/>
        </w:rPr>
        <w:t>ffice des procureurs européens délégués » et comprenant les articles 75-8</w:t>
      </w:r>
      <w:r w:rsidR="00F703EF" w:rsidRPr="00F703EF">
        <w:rPr>
          <w:rFonts w:eastAsia="Times New Roman"/>
          <w:i/>
          <w:lang w:val="fr-FR"/>
        </w:rPr>
        <w:t>bis</w:t>
      </w:r>
      <w:r w:rsidR="00F703EF" w:rsidRPr="00F703EF">
        <w:rPr>
          <w:rFonts w:eastAsia="Times New Roman"/>
          <w:lang w:val="fr-FR"/>
        </w:rPr>
        <w:t xml:space="preserve"> à 75-8</w:t>
      </w:r>
      <w:r w:rsidR="00941CBC">
        <w:rPr>
          <w:rFonts w:eastAsia="Times New Roman"/>
          <w:i/>
          <w:lang w:val="fr-FR"/>
        </w:rPr>
        <w:t>quater</w:t>
      </w:r>
      <w:r w:rsidR="00F703EF" w:rsidRPr="00F703EF">
        <w:rPr>
          <w:rFonts w:eastAsia="Times New Roman"/>
          <w:lang w:val="fr-FR"/>
        </w:rPr>
        <w:t xml:space="preserve"> nouveaux</w:t>
      </w:r>
      <w:bookmarkEnd w:id="4"/>
      <w:r w:rsidR="00F703EF" w:rsidRPr="00F703EF">
        <w:rPr>
          <w:rFonts w:eastAsia="Times New Roman"/>
          <w:lang w:val="fr-FR"/>
        </w:rPr>
        <w:t>, libellés comme suit :</w:t>
      </w:r>
    </w:p>
    <w:p w:rsidR="00E27468" w:rsidRPr="000F4168" w:rsidRDefault="00E27468" w:rsidP="00E27468">
      <w:pPr>
        <w:rPr>
          <w:rFonts w:eastAsia="Times New Roman"/>
          <w:lang w:val="fr-FR"/>
        </w:rPr>
      </w:pPr>
    </w:p>
    <w:p w:rsidR="00E27468" w:rsidRPr="000F4168" w:rsidRDefault="00E27468" w:rsidP="00E27468">
      <w:pPr>
        <w:rPr>
          <w:rFonts w:eastAsia="Times New Roman"/>
          <w:lang w:val="fr-FR"/>
        </w:rPr>
      </w:pPr>
      <w:r w:rsidRPr="000F4168">
        <w:rPr>
          <w:rFonts w:eastAsia="Times New Roman"/>
          <w:lang w:val="fr-FR"/>
        </w:rPr>
        <w:t>« §3</w:t>
      </w:r>
      <w:r w:rsidRPr="000F4168">
        <w:rPr>
          <w:rFonts w:eastAsia="Times New Roman"/>
          <w:i/>
          <w:lang w:val="fr-FR"/>
        </w:rPr>
        <w:t>bis. - De l’</w:t>
      </w:r>
      <w:r w:rsidR="00C907F2">
        <w:rPr>
          <w:rFonts w:eastAsia="Times New Roman"/>
          <w:i/>
          <w:lang w:val="fr-FR"/>
        </w:rPr>
        <w:t>O</w:t>
      </w:r>
      <w:r w:rsidRPr="000F4168">
        <w:rPr>
          <w:rFonts w:eastAsia="Times New Roman"/>
          <w:i/>
          <w:lang w:val="fr-FR"/>
        </w:rPr>
        <w:t>ffice des procureurs européens délégués</w:t>
      </w:r>
    </w:p>
    <w:p w:rsidR="00E27468" w:rsidRPr="005D7FB3" w:rsidRDefault="00E27468" w:rsidP="005D7FB3">
      <w:pPr>
        <w:rPr>
          <w:rFonts w:ascii="Times New Roman" w:hAnsi="Times New Roman"/>
          <w:lang w:val="fr-FR" w:eastAsia="en-GB"/>
        </w:rPr>
      </w:pPr>
    </w:p>
    <w:p w:rsidR="001D7BB8" w:rsidRPr="001D7BB8" w:rsidRDefault="001D7BB8" w:rsidP="001D7BB8">
      <w:pPr>
        <w:rPr>
          <w:bCs/>
          <w:lang w:val="fr-FR"/>
        </w:rPr>
      </w:pPr>
      <w:r w:rsidRPr="001D7BB8">
        <w:rPr>
          <w:bCs/>
          <w:u w:val="single"/>
          <w:lang w:val="fr-FR"/>
        </w:rPr>
        <w:t>Art. 75-8</w:t>
      </w:r>
      <w:r w:rsidRPr="001D7BB8">
        <w:rPr>
          <w:bCs/>
          <w:i/>
          <w:u w:val="single"/>
          <w:lang w:val="fr-FR"/>
        </w:rPr>
        <w:t>bis</w:t>
      </w:r>
      <w:r w:rsidRPr="002A7DFB">
        <w:rPr>
          <w:bCs/>
          <w:lang w:val="fr-FR"/>
        </w:rPr>
        <w:t>.</w:t>
      </w:r>
      <w:r w:rsidRPr="001D7BB8">
        <w:rPr>
          <w:bCs/>
          <w:lang w:val="fr-FR"/>
        </w:rPr>
        <w:t xml:space="preserve"> </w:t>
      </w:r>
      <w:r w:rsidRPr="001D7BB8">
        <w:rPr>
          <w:lang w:val="fr-FR"/>
        </w:rPr>
        <w:t xml:space="preserve">Les deux procureurs européens délégués désignés par le Luxembourg, pour être nommés, conformément à l’article 17 du </w:t>
      </w:r>
      <w:r w:rsidRPr="001D7BB8">
        <w:rPr>
          <w:bCs/>
          <w:lang w:val="fr-FR"/>
        </w:rPr>
        <w:t xml:space="preserve">règlement (UE) </w:t>
      </w:r>
      <w:bookmarkStart w:id="5" w:name="_Hlk65072365"/>
      <w:r w:rsidRPr="001D7BB8">
        <w:rPr>
          <w:bCs/>
          <w:lang w:val="fr-FR"/>
        </w:rPr>
        <w:t>2017/1939 du Conseil du 12 octobre 2017 mettant en œuvre une coopération renforcée concernant la création du Parquet européen</w:t>
      </w:r>
      <w:bookmarkEnd w:id="5"/>
      <w:r w:rsidRPr="001D7BB8">
        <w:rPr>
          <w:bCs/>
          <w:lang w:val="fr-FR"/>
        </w:rPr>
        <w:t>, sont choisis par le procureur général d’État.</w:t>
      </w:r>
    </w:p>
    <w:p w:rsidR="001D7BB8" w:rsidRPr="001D7BB8" w:rsidRDefault="001D7BB8" w:rsidP="001D7BB8">
      <w:pPr>
        <w:rPr>
          <w:bCs/>
          <w:lang w:val="fr-FR"/>
        </w:rPr>
      </w:pPr>
    </w:p>
    <w:p w:rsidR="001D7BB8" w:rsidRPr="001D7BB8" w:rsidRDefault="001D7BB8" w:rsidP="001D7BB8">
      <w:pPr>
        <w:rPr>
          <w:bCs/>
          <w:lang w:val="fr-FR"/>
        </w:rPr>
      </w:pPr>
      <w:r w:rsidRPr="001D7BB8">
        <w:rPr>
          <w:bCs/>
          <w:lang w:val="fr-FR"/>
        </w:rPr>
        <w:t>Le choix est opéré parmi les magistrats de l’ordre judiciaire répondant aux critères prévus par l’article 17, paragraphe 2, du règlement (UE) 2017/1939 du Conseil du 12 octobre 2017 mettant en œuvre une coopération renforcée concernant la création du Parquet européen.</w:t>
      </w:r>
    </w:p>
    <w:p w:rsidR="001D7BB8" w:rsidRPr="001D7BB8" w:rsidRDefault="001D7BB8" w:rsidP="001D7BB8">
      <w:pPr>
        <w:rPr>
          <w:bCs/>
          <w:lang w:val="fr-FR"/>
        </w:rPr>
      </w:pPr>
    </w:p>
    <w:p w:rsidR="001D7BB8" w:rsidRPr="001D7BB8" w:rsidRDefault="001D7BB8" w:rsidP="001D7BB8">
      <w:pPr>
        <w:rPr>
          <w:bCs/>
          <w:lang w:val="fr-FR"/>
        </w:rPr>
      </w:pPr>
      <w:r w:rsidRPr="001D7BB8">
        <w:rPr>
          <w:bCs/>
          <w:lang w:val="fr-FR"/>
        </w:rPr>
        <w:t>Les procureurs européens délégués ont le grade de substitut principal. Ils sont libérés de leurs fonctions nationales pour la durée de leur mandat. Les postes libérés sont pourvus par de nouvelles nominations.</w:t>
      </w:r>
    </w:p>
    <w:p w:rsidR="001D7BB8" w:rsidRPr="001D7BB8" w:rsidRDefault="001D7BB8" w:rsidP="001D7BB8">
      <w:pPr>
        <w:rPr>
          <w:bCs/>
          <w:lang w:val="fr-FR"/>
        </w:rPr>
      </w:pPr>
    </w:p>
    <w:p w:rsidR="001D7BB8" w:rsidRPr="001D7BB8" w:rsidRDefault="001D7BB8" w:rsidP="001D7BB8">
      <w:pPr>
        <w:rPr>
          <w:bCs/>
          <w:lang w:val="fr-FR"/>
        </w:rPr>
      </w:pPr>
      <w:r w:rsidRPr="001D7BB8">
        <w:rPr>
          <w:bCs/>
          <w:lang w:val="fr-FR"/>
        </w:rPr>
        <w:t>Les procureurs européens délégués conservent les droits et obligations attachés à leur qualité de magistrat luxembourgeois.</w:t>
      </w:r>
    </w:p>
    <w:p w:rsidR="001D7BB8" w:rsidRPr="001D7BB8" w:rsidRDefault="001D7BB8" w:rsidP="001D7BB8">
      <w:pPr>
        <w:rPr>
          <w:bCs/>
          <w:lang w:val="fr-FR"/>
        </w:rPr>
      </w:pPr>
    </w:p>
    <w:p w:rsidR="001D7BB8" w:rsidRPr="001D7BB8" w:rsidRDefault="001D7BB8" w:rsidP="001D7BB8">
      <w:pPr>
        <w:rPr>
          <w:lang w:val="fr-FR"/>
        </w:rPr>
      </w:pPr>
      <w:r w:rsidRPr="001D7BB8">
        <w:rPr>
          <w:u w:val="single"/>
          <w:lang w:val="fr-FR"/>
        </w:rPr>
        <w:t>Art. 75-8</w:t>
      </w:r>
      <w:r w:rsidRPr="001D7BB8">
        <w:rPr>
          <w:i/>
          <w:iCs/>
          <w:u w:val="single"/>
          <w:lang w:val="fr-FR"/>
        </w:rPr>
        <w:t>ter</w:t>
      </w:r>
      <w:r w:rsidRPr="00271ED6">
        <w:rPr>
          <w:u w:val="single"/>
          <w:lang w:val="fr-FR"/>
        </w:rPr>
        <w:t>.</w:t>
      </w:r>
      <w:r>
        <w:rPr>
          <w:lang w:val="fr-FR"/>
        </w:rPr>
        <w:t xml:space="preserve"> </w:t>
      </w:r>
      <w:r w:rsidRPr="001D7BB8">
        <w:rPr>
          <w:lang w:val="fr-FR"/>
        </w:rPr>
        <w:t xml:space="preserve">Les magistrats qui cessent la fonction de procureur européen délégué sont réintégrés à un poste équivalent à la fonction qu'ils exerçaient avant leur nomination. À défaut de vacance de poste adéquat, les magistrats concernés sont réintégrés par dépassement des effectifs. </w:t>
      </w:r>
    </w:p>
    <w:p w:rsidR="001D7BB8" w:rsidRPr="001D7BB8" w:rsidRDefault="001D7BB8" w:rsidP="001D7BB8">
      <w:pPr>
        <w:rPr>
          <w:lang w:val="fr-FR"/>
        </w:rPr>
      </w:pPr>
    </w:p>
    <w:p w:rsidR="001D7BB8" w:rsidRPr="001D7BB8" w:rsidRDefault="001D7BB8" w:rsidP="001D7BB8">
      <w:pPr>
        <w:rPr>
          <w:lang w:val="fr-FR"/>
        </w:rPr>
      </w:pPr>
      <w:r w:rsidRPr="001D7BB8">
        <w:rPr>
          <w:lang w:val="fr-FR"/>
        </w:rPr>
        <w:t xml:space="preserve">Les périodes pendant lesquelles les magistrats ont exercé la fonction de procureur européen délégué sont prises en compte comme périodes de service au sein de la magistrature. </w:t>
      </w:r>
    </w:p>
    <w:p w:rsidR="001D7BB8" w:rsidRPr="001D7BB8" w:rsidRDefault="001D7BB8" w:rsidP="001D7BB8">
      <w:pPr>
        <w:rPr>
          <w:lang w:val="fr-FR"/>
        </w:rPr>
      </w:pPr>
    </w:p>
    <w:p w:rsidR="001D7BB8" w:rsidRPr="001D7BB8" w:rsidRDefault="001D7BB8" w:rsidP="001D7BB8">
      <w:pPr>
        <w:rPr>
          <w:lang w:val="fr-FR"/>
        </w:rPr>
      </w:pPr>
      <w:r w:rsidRPr="001D7BB8">
        <w:rPr>
          <w:lang w:val="fr-FR"/>
        </w:rPr>
        <w:t>Les cotisations sociales ainsi que les contributions à l’assurance dépendance des procureurs européens délégués sont pris en charge par le budget de l’État.</w:t>
      </w:r>
    </w:p>
    <w:p w:rsidR="001D7BB8" w:rsidRPr="001D7BB8" w:rsidRDefault="001D7BB8" w:rsidP="001D7BB8">
      <w:pPr>
        <w:rPr>
          <w:lang w:val="fr-FR"/>
        </w:rPr>
      </w:pPr>
    </w:p>
    <w:p w:rsidR="001D7BB8" w:rsidRPr="001D7BB8" w:rsidRDefault="001D7BB8" w:rsidP="001D7BB8">
      <w:pPr>
        <w:rPr>
          <w:lang w:val="fr-FR"/>
        </w:rPr>
      </w:pPr>
      <w:r w:rsidRPr="001D7BB8">
        <w:rPr>
          <w:lang w:val="fr-FR"/>
        </w:rPr>
        <w:t>Au cas où leur traitement après réintégration serait inférieur à celui touché en tant que procureur européen délégué, les magistrats concernés bénéficieront d’un supplément personnel de traitement pensionnable tenant compte de la différence entre le traitement touché à la fin de leur mandat de procureur européen délégué et le nouveau traitement. Ce supplément personnel de traitement diminue au fur et à mesure que le traitement augmente avec l’évolution de la carrière.</w:t>
      </w:r>
    </w:p>
    <w:p w:rsidR="001D7BB8" w:rsidRPr="001D7BB8" w:rsidRDefault="001D7BB8" w:rsidP="001D7BB8">
      <w:pPr>
        <w:rPr>
          <w:lang w:val="fr-FR"/>
        </w:rPr>
      </w:pPr>
    </w:p>
    <w:p w:rsidR="001D7BB8" w:rsidRPr="001D7BB8" w:rsidRDefault="001D7BB8" w:rsidP="001D7BB8">
      <w:pPr>
        <w:rPr>
          <w:bCs/>
          <w:u w:val="single"/>
          <w:lang w:val="fr-FR"/>
        </w:rPr>
      </w:pPr>
      <w:r w:rsidRPr="001D7BB8">
        <w:rPr>
          <w:u w:val="single"/>
          <w:lang w:val="fr-FR"/>
        </w:rPr>
        <w:t>Art. 75-8</w:t>
      </w:r>
      <w:r w:rsidRPr="001D7BB8">
        <w:rPr>
          <w:i/>
          <w:iCs/>
          <w:u w:val="single"/>
          <w:lang w:val="fr-FR"/>
        </w:rPr>
        <w:t>quater</w:t>
      </w:r>
      <w:r w:rsidRPr="001D7BB8">
        <w:rPr>
          <w:u w:val="single"/>
          <w:lang w:val="fr-FR"/>
        </w:rPr>
        <w:t>.</w:t>
      </w:r>
      <w:r w:rsidRPr="001D7BB8">
        <w:rPr>
          <w:bCs/>
          <w:lang w:val="fr-FR"/>
        </w:rPr>
        <w:t xml:space="preserve"> </w:t>
      </w:r>
      <w:r w:rsidRPr="001D7BB8">
        <w:rPr>
          <w:lang w:val="fr-FR"/>
        </w:rPr>
        <w:t>Le procureur général d’État met à la disposition des procureurs européens délégués des fonctionnaires et employés de l’État relevant de l’administration judiciaire pour les assister dans l’exercice de leurs fonctions.</w:t>
      </w:r>
    </w:p>
    <w:p w:rsidR="001D7BB8" w:rsidRPr="001D7BB8" w:rsidRDefault="001D7BB8" w:rsidP="001D7BB8">
      <w:pPr>
        <w:rPr>
          <w:lang w:val="fr-FR"/>
        </w:rPr>
      </w:pPr>
    </w:p>
    <w:p w:rsidR="001D7BB8" w:rsidRPr="001D7BB8" w:rsidRDefault="001D7BB8" w:rsidP="001D7BB8">
      <w:pPr>
        <w:rPr>
          <w:lang w:val="fr-FR"/>
        </w:rPr>
      </w:pPr>
      <w:r w:rsidRPr="001D7BB8">
        <w:rPr>
          <w:lang w:val="fr-FR"/>
        </w:rPr>
        <w:t>Ces fonctionnaires et employés de l’État sont placés sous la direction des procureurs européens délégués. »</w:t>
      </w:r>
    </w:p>
    <w:p w:rsidR="007D2DB4" w:rsidRPr="00935A1A" w:rsidRDefault="007D2DB4" w:rsidP="005D7FB3">
      <w:pPr>
        <w:rPr>
          <w:lang w:val="fr-FR"/>
        </w:rPr>
      </w:pPr>
    </w:p>
    <w:p w:rsidR="007D2DB4" w:rsidRDefault="007D2DB4" w:rsidP="007D2DB4">
      <w:pPr>
        <w:rPr>
          <w:lang w:val="fr-FR"/>
        </w:rPr>
      </w:pPr>
    </w:p>
    <w:p w:rsidR="007D2DB4" w:rsidRDefault="00B040DA" w:rsidP="007D2DB4">
      <w:pPr>
        <w:jc w:val="right"/>
        <w:rPr>
          <w:lang w:val="fr-FR"/>
        </w:rPr>
      </w:pPr>
      <w:r>
        <w:rPr>
          <w:lang w:val="fr-FR"/>
        </w:rPr>
        <w:t>Stéphanie EMPAIN</w:t>
      </w:r>
    </w:p>
    <w:p w:rsidR="007D2DB4" w:rsidRPr="0038783F" w:rsidRDefault="007D2DB4" w:rsidP="007D2DB4">
      <w:pPr>
        <w:jc w:val="right"/>
        <w:rPr>
          <w:i/>
          <w:iCs/>
          <w:lang w:val="fr-FR"/>
        </w:rPr>
      </w:pPr>
      <w:r w:rsidRPr="0038783F">
        <w:rPr>
          <w:i/>
          <w:iCs/>
          <w:lang w:val="fr-FR"/>
        </w:rPr>
        <w:t>Rapport</w:t>
      </w:r>
      <w:r w:rsidR="00934238">
        <w:rPr>
          <w:i/>
          <w:iCs/>
          <w:lang w:val="fr-FR"/>
        </w:rPr>
        <w:t>eur</w:t>
      </w:r>
    </w:p>
    <w:p w:rsidR="007D2DB4" w:rsidRDefault="007D2DB4" w:rsidP="00C93EB0">
      <w:pPr>
        <w:rPr>
          <w:lang w:val="fr-FR"/>
        </w:rPr>
      </w:pPr>
    </w:p>
    <w:p w:rsidR="007D2DB4" w:rsidRDefault="007D2DB4" w:rsidP="00C93EB0">
      <w:pPr>
        <w:rPr>
          <w:lang w:val="fr-FR"/>
        </w:rPr>
      </w:pPr>
    </w:p>
    <w:p w:rsidR="007D2DB4" w:rsidRDefault="007D2DB4" w:rsidP="00C93EB0">
      <w:pPr>
        <w:rPr>
          <w:lang w:val="fr-FR"/>
        </w:rPr>
      </w:pPr>
    </w:p>
    <w:p w:rsidR="008D5A1E" w:rsidRDefault="008D5A1E" w:rsidP="001B4CBD">
      <w:pPr>
        <w:rPr>
          <w:lang w:val="fr-FR"/>
        </w:rPr>
      </w:pPr>
    </w:p>
    <w:sectPr w:rsidR="008D5A1E">
      <w:head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95D" w:rsidRDefault="004C595D" w:rsidP="00795C0B">
      <w:r>
        <w:separator/>
      </w:r>
    </w:p>
  </w:endnote>
  <w:endnote w:type="continuationSeparator" w:id="0">
    <w:p w:rsidR="004C595D" w:rsidRDefault="004C595D" w:rsidP="00795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17E" w:rsidRDefault="007C617E">
    <w:pPr>
      <w:pStyle w:val="Pieddepage"/>
      <w:jc w:val="center"/>
    </w:pPr>
    <w:r>
      <w:fldChar w:fldCharType="begin"/>
    </w:r>
    <w:r>
      <w:instrText>PAGE   \* MERGEFORMAT</w:instrText>
    </w:r>
    <w:r>
      <w:fldChar w:fldCharType="separate"/>
    </w:r>
    <w:r w:rsidR="00403000" w:rsidRPr="00403000">
      <w:rPr>
        <w:noProof/>
        <w:lang w:val="fr-FR"/>
      </w:rPr>
      <w:t>1</w:t>
    </w:r>
    <w:r>
      <w:fldChar w:fldCharType="end"/>
    </w:r>
  </w:p>
  <w:p w:rsidR="007C617E" w:rsidRDefault="007C617E">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95D" w:rsidRDefault="004C595D" w:rsidP="00795C0B">
      <w:r>
        <w:separator/>
      </w:r>
    </w:p>
  </w:footnote>
  <w:footnote w:type="continuationSeparator" w:id="0">
    <w:p w:rsidR="004C595D" w:rsidRDefault="004C595D" w:rsidP="00795C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17E" w:rsidRDefault="004C595D">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497.4pt;height:142.1pt;rotation:315;z-index:-251658240;mso-wrap-edited:f;mso-position-horizontal:center;mso-position-horizontal-relative:margin;mso-position-vertical:center;mso-position-vertical-relative:margin" o:allowincell="f" fillcolor="silver" stroked="f">
          <v:fill opacity=".5"/>
          <v:textpath style="font-family:&quot;Arial&quot;;font-size:1pt" string="PROJET"/>
          <w10:wrap anchorx="margin" anchory="margin"/>
        </v:shape>
      </w:pict>
    </w:r>
    <w:r w:rsidR="004C3007">
      <w:rPr>
        <w:noProof/>
      </w:rPr>
      <w:pict>
        <v:shapetype id="_x0000_t202" coordsize="21600,21600" o:spt="202" path="m,l,21600r21600,l21600,xe">
          <v:stroke joinstyle="miter"/>
          <v:path gradientshapeok="t" o:connecttype="rect"/>
        </v:shapetype>
        <v:shape id="WordArt 1" o:spid="_x0000_s2052" type="#_x0000_t202" style="position:absolute;left:0;text-align:left;margin-left:0;margin-top:0;width:497.4pt;height:142.1pt;rotation:-45;z-index:-251659264;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" o:allowincell="f" filled="f" stroked="f">
          <v:stroke joinstyle="round"/>
          <o:lock v:ext="edit" shapetype="t"/>
          <v:textbox style="mso-fit-shape-to-text:t">
            <w:txbxContent>
              <w:p w:rsidR="00626AE7" w:rsidRDefault="00626AE7" w:rsidP="00626AE7">
                <w:pPr>
                  <w:pStyle w:val="NormalWeb"/>
                  <w:spacing w:before="0" w:beforeAutospacing="0" w:after="0" w:afterAutospacing="0"/>
                  <w:jc w:val="center"/>
                </w:pPr>
                <w:r w:rsidRPr="004C3007">
                  <w:rPr>
                    <w:rFonts w:ascii="Arial" w:hAnsi="Arial" w:cs="Arial"/>
                    <w:color w:val="C0C0C0"/>
                    <w:sz w:val="2"/>
                    <w:szCs w:val="2"/>
                  </w:rPr>
                  <w:t>PROJET</w:t>
                </w:r>
              </w:p>
            </w:txbxContent>
          </v:textbox>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24C1D"/>
    <w:multiLevelType w:val="hybridMultilevel"/>
    <w:tmpl w:val="C56681A8"/>
    <w:lvl w:ilvl="0" w:tplc="A27CDFDC">
      <w:start w:val="12"/>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575E8"/>
    <w:multiLevelType w:val="hybridMultilevel"/>
    <w:tmpl w:val="09CAF258"/>
    <w:lvl w:ilvl="0" w:tplc="60C60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A5382"/>
    <w:multiLevelType w:val="hybridMultilevel"/>
    <w:tmpl w:val="37BCAAE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2B2A46"/>
    <w:multiLevelType w:val="hybridMultilevel"/>
    <w:tmpl w:val="742077DA"/>
    <w:lvl w:ilvl="0" w:tplc="3F6441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A001D8"/>
    <w:multiLevelType w:val="hybridMultilevel"/>
    <w:tmpl w:val="846CA62E"/>
    <w:lvl w:ilvl="0" w:tplc="6688FD1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37629"/>
    <w:multiLevelType w:val="hybridMultilevel"/>
    <w:tmpl w:val="A2422542"/>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6" w15:restartNumberingAfterBreak="0">
    <w:nsid w:val="25382107"/>
    <w:multiLevelType w:val="hybridMultilevel"/>
    <w:tmpl w:val="837C93E8"/>
    <w:lvl w:ilvl="0" w:tplc="55368F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455BE9"/>
    <w:multiLevelType w:val="hybridMultilevel"/>
    <w:tmpl w:val="6C602D2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8" w15:restartNumberingAfterBreak="0">
    <w:nsid w:val="2AEF54CF"/>
    <w:multiLevelType w:val="hybridMultilevel"/>
    <w:tmpl w:val="1012BDF0"/>
    <w:lvl w:ilvl="0" w:tplc="3BD4854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6640FC"/>
    <w:multiLevelType w:val="hybridMultilevel"/>
    <w:tmpl w:val="8466DF12"/>
    <w:lvl w:ilvl="0" w:tplc="35A8CC5E">
      <w:start w:val="1"/>
      <w:numFmt w:val="lowerLetter"/>
      <w:lvlText w:val="%1)"/>
      <w:lvlJc w:val="left"/>
      <w:pPr>
        <w:ind w:left="3872" w:hanging="360"/>
      </w:pPr>
      <w:rPr>
        <w:rFonts w:hint="default"/>
        <w:color w:val="auto"/>
      </w:rPr>
    </w:lvl>
    <w:lvl w:ilvl="1" w:tplc="04090019" w:tentative="1">
      <w:start w:val="1"/>
      <w:numFmt w:val="lowerLetter"/>
      <w:lvlText w:val="%2."/>
      <w:lvlJc w:val="left"/>
      <w:pPr>
        <w:ind w:left="4592" w:hanging="360"/>
      </w:pPr>
    </w:lvl>
    <w:lvl w:ilvl="2" w:tplc="0409001B" w:tentative="1">
      <w:start w:val="1"/>
      <w:numFmt w:val="lowerRoman"/>
      <w:lvlText w:val="%3."/>
      <w:lvlJc w:val="right"/>
      <w:pPr>
        <w:ind w:left="5312" w:hanging="180"/>
      </w:pPr>
    </w:lvl>
    <w:lvl w:ilvl="3" w:tplc="0409000F" w:tentative="1">
      <w:start w:val="1"/>
      <w:numFmt w:val="decimal"/>
      <w:lvlText w:val="%4."/>
      <w:lvlJc w:val="left"/>
      <w:pPr>
        <w:ind w:left="6032" w:hanging="360"/>
      </w:pPr>
    </w:lvl>
    <w:lvl w:ilvl="4" w:tplc="04090019" w:tentative="1">
      <w:start w:val="1"/>
      <w:numFmt w:val="lowerLetter"/>
      <w:lvlText w:val="%5."/>
      <w:lvlJc w:val="left"/>
      <w:pPr>
        <w:ind w:left="6752" w:hanging="360"/>
      </w:pPr>
    </w:lvl>
    <w:lvl w:ilvl="5" w:tplc="0409001B" w:tentative="1">
      <w:start w:val="1"/>
      <w:numFmt w:val="lowerRoman"/>
      <w:lvlText w:val="%6."/>
      <w:lvlJc w:val="right"/>
      <w:pPr>
        <w:ind w:left="7472" w:hanging="180"/>
      </w:pPr>
    </w:lvl>
    <w:lvl w:ilvl="6" w:tplc="0409000F" w:tentative="1">
      <w:start w:val="1"/>
      <w:numFmt w:val="decimal"/>
      <w:lvlText w:val="%7."/>
      <w:lvlJc w:val="left"/>
      <w:pPr>
        <w:ind w:left="8192" w:hanging="360"/>
      </w:pPr>
    </w:lvl>
    <w:lvl w:ilvl="7" w:tplc="04090019" w:tentative="1">
      <w:start w:val="1"/>
      <w:numFmt w:val="lowerLetter"/>
      <w:lvlText w:val="%8."/>
      <w:lvlJc w:val="left"/>
      <w:pPr>
        <w:ind w:left="8912" w:hanging="360"/>
      </w:pPr>
    </w:lvl>
    <w:lvl w:ilvl="8" w:tplc="0409001B" w:tentative="1">
      <w:start w:val="1"/>
      <w:numFmt w:val="lowerRoman"/>
      <w:lvlText w:val="%9."/>
      <w:lvlJc w:val="right"/>
      <w:pPr>
        <w:ind w:left="9632" w:hanging="180"/>
      </w:pPr>
    </w:lvl>
  </w:abstractNum>
  <w:abstractNum w:abstractNumId="10" w15:restartNumberingAfterBreak="0">
    <w:nsid w:val="309B6CB9"/>
    <w:multiLevelType w:val="hybridMultilevel"/>
    <w:tmpl w:val="D0667EE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2D0DD7"/>
    <w:multiLevelType w:val="hybridMultilevel"/>
    <w:tmpl w:val="52D2B480"/>
    <w:lvl w:ilvl="0" w:tplc="04207CB2">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281E29"/>
    <w:multiLevelType w:val="hybridMultilevel"/>
    <w:tmpl w:val="E2EAE12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B77169B"/>
    <w:multiLevelType w:val="hybridMultilevel"/>
    <w:tmpl w:val="E248A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AF7C4A"/>
    <w:multiLevelType w:val="hybridMultilevel"/>
    <w:tmpl w:val="CE18E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646AE4"/>
    <w:multiLevelType w:val="hybridMultilevel"/>
    <w:tmpl w:val="DD54A3C8"/>
    <w:lvl w:ilvl="0" w:tplc="9A5EA6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656936"/>
    <w:multiLevelType w:val="hybridMultilevel"/>
    <w:tmpl w:val="1A5693F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37F21BB"/>
    <w:multiLevelType w:val="hybridMultilevel"/>
    <w:tmpl w:val="62549682"/>
    <w:lvl w:ilvl="0" w:tplc="98C2C34E">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8" w15:restartNumberingAfterBreak="0">
    <w:nsid w:val="4A155262"/>
    <w:multiLevelType w:val="hybridMultilevel"/>
    <w:tmpl w:val="DB3650F4"/>
    <w:lvl w:ilvl="0" w:tplc="9FD082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0E4031C"/>
    <w:multiLevelType w:val="hybridMultilevel"/>
    <w:tmpl w:val="8C2E663C"/>
    <w:lvl w:ilvl="0" w:tplc="82883272">
      <w:start w:val="1"/>
      <w:numFmt w:val="decimal"/>
      <w:lvlText w:val="%1 °"/>
      <w:lvlJc w:val="left"/>
      <w:pPr>
        <w:ind w:left="720" w:hanging="360"/>
      </w:pPr>
      <w:rPr>
        <w:rFonts w:hint="default"/>
        <w:b w:val="0"/>
        <w:bCs/>
        <w:u w:val="none"/>
      </w:rPr>
    </w:lvl>
    <w:lvl w:ilvl="1" w:tplc="2A7408FC">
      <w:start w:val="1"/>
      <w:numFmt w:val="decimal"/>
      <w:lvlText w:val="%2."/>
      <w:lvlJc w:val="left"/>
      <w:pPr>
        <w:ind w:left="1440" w:hanging="360"/>
      </w:pPr>
      <w:rPr>
        <w:rFonts w:ascii="Calibri" w:eastAsia="Calibri" w:hAnsi="Calibri" w:cs="Tahom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CC06C1"/>
    <w:multiLevelType w:val="hybridMultilevel"/>
    <w:tmpl w:val="133C2EC6"/>
    <w:lvl w:ilvl="0" w:tplc="29AC2F26">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1" w15:restartNumberingAfterBreak="0">
    <w:nsid w:val="55AC7E7B"/>
    <w:multiLevelType w:val="hybridMultilevel"/>
    <w:tmpl w:val="0E5AEEB6"/>
    <w:lvl w:ilvl="0" w:tplc="6688FD1A">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B907936"/>
    <w:multiLevelType w:val="hybridMultilevel"/>
    <w:tmpl w:val="D67CD244"/>
    <w:lvl w:ilvl="0" w:tplc="C93C8250">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3" w15:restartNumberingAfterBreak="0">
    <w:nsid w:val="5C6558A8"/>
    <w:multiLevelType w:val="hybridMultilevel"/>
    <w:tmpl w:val="49DE485A"/>
    <w:lvl w:ilvl="0" w:tplc="C1068B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C10F6D"/>
    <w:multiLevelType w:val="hybridMultilevel"/>
    <w:tmpl w:val="A372B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404249"/>
    <w:multiLevelType w:val="hybridMultilevel"/>
    <w:tmpl w:val="6610E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8F0FC3"/>
    <w:multiLevelType w:val="hybridMultilevel"/>
    <w:tmpl w:val="CD9201D6"/>
    <w:lvl w:ilvl="0" w:tplc="F08E0D92">
      <w:start w:val="1"/>
      <w:numFmt w:val="decimal"/>
      <w:lvlText w:val="%1 °"/>
      <w:lvlJc w:val="left"/>
      <w:pPr>
        <w:ind w:left="720" w:hanging="360"/>
      </w:pPr>
      <w:rPr>
        <w:rFonts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2F1796"/>
    <w:multiLevelType w:val="hybridMultilevel"/>
    <w:tmpl w:val="24D216AA"/>
    <w:lvl w:ilvl="0" w:tplc="3140D45A">
      <w:start w:val="1"/>
      <w:numFmt w:val="lowerLetter"/>
      <w:lvlText w:val="%1)"/>
      <w:lvlJc w:val="left"/>
      <w:pPr>
        <w:ind w:left="2628" w:hanging="360"/>
      </w:pPr>
      <w:rPr>
        <w:rFonts w:hint="default"/>
      </w:rPr>
    </w:lvl>
    <w:lvl w:ilvl="1" w:tplc="100C0019" w:tentative="1">
      <w:start w:val="1"/>
      <w:numFmt w:val="lowerLetter"/>
      <w:lvlText w:val="%2."/>
      <w:lvlJc w:val="left"/>
      <w:pPr>
        <w:ind w:left="3348" w:hanging="360"/>
      </w:pPr>
    </w:lvl>
    <w:lvl w:ilvl="2" w:tplc="100C001B" w:tentative="1">
      <w:start w:val="1"/>
      <w:numFmt w:val="lowerRoman"/>
      <w:lvlText w:val="%3."/>
      <w:lvlJc w:val="right"/>
      <w:pPr>
        <w:ind w:left="4068" w:hanging="180"/>
      </w:pPr>
    </w:lvl>
    <w:lvl w:ilvl="3" w:tplc="100C000F" w:tentative="1">
      <w:start w:val="1"/>
      <w:numFmt w:val="decimal"/>
      <w:lvlText w:val="%4."/>
      <w:lvlJc w:val="left"/>
      <w:pPr>
        <w:ind w:left="4788" w:hanging="360"/>
      </w:pPr>
    </w:lvl>
    <w:lvl w:ilvl="4" w:tplc="100C0019" w:tentative="1">
      <w:start w:val="1"/>
      <w:numFmt w:val="lowerLetter"/>
      <w:lvlText w:val="%5."/>
      <w:lvlJc w:val="left"/>
      <w:pPr>
        <w:ind w:left="5508" w:hanging="360"/>
      </w:pPr>
    </w:lvl>
    <w:lvl w:ilvl="5" w:tplc="100C001B" w:tentative="1">
      <w:start w:val="1"/>
      <w:numFmt w:val="lowerRoman"/>
      <w:lvlText w:val="%6."/>
      <w:lvlJc w:val="right"/>
      <w:pPr>
        <w:ind w:left="6228" w:hanging="180"/>
      </w:pPr>
    </w:lvl>
    <w:lvl w:ilvl="6" w:tplc="100C000F" w:tentative="1">
      <w:start w:val="1"/>
      <w:numFmt w:val="decimal"/>
      <w:lvlText w:val="%7."/>
      <w:lvlJc w:val="left"/>
      <w:pPr>
        <w:ind w:left="6948" w:hanging="360"/>
      </w:pPr>
    </w:lvl>
    <w:lvl w:ilvl="7" w:tplc="100C0019" w:tentative="1">
      <w:start w:val="1"/>
      <w:numFmt w:val="lowerLetter"/>
      <w:lvlText w:val="%8."/>
      <w:lvlJc w:val="left"/>
      <w:pPr>
        <w:ind w:left="7668" w:hanging="360"/>
      </w:pPr>
    </w:lvl>
    <w:lvl w:ilvl="8" w:tplc="100C001B" w:tentative="1">
      <w:start w:val="1"/>
      <w:numFmt w:val="lowerRoman"/>
      <w:lvlText w:val="%9."/>
      <w:lvlJc w:val="right"/>
      <w:pPr>
        <w:ind w:left="8388" w:hanging="180"/>
      </w:pPr>
    </w:lvl>
  </w:abstractNum>
  <w:abstractNum w:abstractNumId="28" w15:restartNumberingAfterBreak="0">
    <w:nsid w:val="6B167880"/>
    <w:multiLevelType w:val="hybridMultilevel"/>
    <w:tmpl w:val="8F005842"/>
    <w:lvl w:ilvl="0" w:tplc="6688FD1A">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CB82488"/>
    <w:multiLevelType w:val="hybridMultilevel"/>
    <w:tmpl w:val="6DEECD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0" w15:restartNumberingAfterBreak="0">
    <w:nsid w:val="6FFD7D68"/>
    <w:multiLevelType w:val="hybridMultilevel"/>
    <w:tmpl w:val="C0B21BE8"/>
    <w:lvl w:ilvl="0" w:tplc="E2B2709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A937D0"/>
    <w:multiLevelType w:val="hybridMultilevel"/>
    <w:tmpl w:val="DBD0454A"/>
    <w:lvl w:ilvl="0" w:tplc="17A8EA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A938CA"/>
    <w:multiLevelType w:val="hybridMultilevel"/>
    <w:tmpl w:val="1F4AC79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C8429D5"/>
    <w:multiLevelType w:val="hybridMultilevel"/>
    <w:tmpl w:val="5D668188"/>
    <w:lvl w:ilvl="0" w:tplc="5F5CC5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40437F"/>
    <w:multiLevelType w:val="hybridMultilevel"/>
    <w:tmpl w:val="7826D6C6"/>
    <w:lvl w:ilvl="0" w:tplc="54DCD8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23"/>
  </w:num>
  <w:num w:numId="4">
    <w:abstractNumId w:val="17"/>
  </w:num>
  <w:num w:numId="5">
    <w:abstractNumId w:val="13"/>
  </w:num>
  <w:num w:numId="6">
    <w:abstractNumId w:val="24"/>
  </w:num>
  <w:num w:numId="7">
    <w:abstractNumId w:val="25"/>
  </w:num>
  <w:num w:numId="8">
    <w:abstractNumId w:val="0"/>
  </w:num>
  <w:num w:numId="9">
    <w:abstractNumId w:val="9"/>
  </w:num>
  <w:num w:numId="10">
    <w:abstractNumId w:val="34"/>
  </w:num>
  <w:num w:numId="11">
    <w:abstractNumId w:val="14"/>
  </w:num>
  <w:num w:numId="12">
    <w:abstractNumId w:val="3"/>
  </w:num>
  <w:num w:numId="13">
    <w:abstractNumId w:val="2"/>
  </w:num>
  <w:num w:numId="14">
    <w:abstractNumId w:val="8"/>
  </w:num>
  <w:num w:numId="15">
    <w:abstractNumId w:val="32"/>
  </w:num>
  <w:num w:numId="16">
    <w:abstractNumId w:val="1"/>
  </w:num>
  <w:num w:numId="17">
    <w:abstractNumId w:val="16"/>
  </w:num>
  <w:num w:numId="18">
    <w:abstractNumId w:val="33"/>
  </w:num>
  <w:num w:numId="19">
    <w:abstractNumId w:val="30"/>
  </w:num>
  <w:num w:numId="20">
    <w:abstractNumId w:val="12"/>
  </w:num>
  <w:num w:numId="21">
    <w:abstractNumId w:val="31"/>
  </w:num>
  <w:num w:numId="22">
    <w:abstractNumId w:val="6"/>
  </w:num>
  <w:num w:numId="23">
    <w:abstractNumId w:val="10"/>
  </w:num>
  <w:num w:numId="24">
    <w:abstractNumId w:val="11"/>
  </w:num>
  <w:num w:numId="25">
    <w:abstractNumId w:val="22"/>
  </w:num>
  <w:num w:numId="26">
    <w:abstractNumId w:val="20"/>
  </w:num>
  <w:num w:numId="27">
    <w:abstractNumId w:val="19"/>
  </w:num>
  <w:num w:numId="28">
    <w:abstractNumId w:val="26"/>
  </w:num>
  <w:num w:numId="29">
    <w:abstractNumId w:val="4"/>
  </w:num>
  <w:num w:numId="30">
    <w:abstractNumId w:val="21"/>
  </w:num>
  <w:num w:numId="31">
    <w:abstractNumId w:val="28"/>
  </w:num>
  <w:num w:numId="32">
    <w:abstractNumId w:val="18"/>
  </w:num>
  <w:num w:numId="33">
    <w:abstractNumId w:val="27"/>
  </w:num>
  <w:num w:numId="34">
    <w:abstractNumId w:val="29"/>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187A"/>
    <w:rsid w:val="00002578"/>
    <w:rsid w:val="00003A71"/>
    <w:rsid w:val="00004B23"/>
    <w:rsid w:val="00004C77"/>
    <w:rsid w:val="00006D94"/>
    <w:rsid w:val="00010E82"/>
    <w:rsid w:val="00013189"/>
    <w:rsid w:val="00017861"/>
    <w:rsid w:val="00020BF1"/>
    <w:rsid w:val="0002131C"/>
    <w:rsid w:val="00022C61"/>
    <w:rsid w:val="0002409A"/>
    <w:rsid w:val="0002493F"/>
    <w:rsid w:val="00026D14"/>
    <w:rsid w:val="000306BC"/>
    <w:rsid w:val="000314BF"/>
    <w:rsid w:val="00033411"/>
    <w:rsid w:val="000369FB"/>
    <w:rsid w:val="00037830"/>
    <w:rsid w:val="00041B7C"/>
    <w:rsid w:val="0004314C"/>
    <w:rsid w:val="00044CDB"/>
    <w:rsid w:val="00045F56"/>
    <w:rsid w:val="000529A1"/>
    <w:rsid w:val="00052EF4"/>
    <w:rsid w:val="000549C5"/>
    <w:rsid w:val="000559C0"/>
    <w:rsid w:val="0005674D"/>
    <w:rsid w:val="00062024"/>
    <w:rsid w:val="00065A64"/>
    <w:rsid w:val="00066FFB"/>
    <w:rsid w:val="0007015B"/>
    <w:rsid w:val="00070714"/>
    <w:rsid w:val="00071F6C"/>
    <w:rsid w:val="00073104"/>
    <w:rsid w:val="00076687"/>
    <w:rsid w:val="0007694C"/>
    <w:rsid w:val="00080FA1"/>
    <w:rsid w:val="000826A6"/>
    <w:rsid w:val="00084B85"/>
    <w:rsid w:val="0008743D"/>
    <w:rsid w:val="00090692"/>
    <w:rsid w:val="0009378E"/>
    <w:rsid w:val="00094854"/>
    <w:rsid w:val="000A067F"/>
    <w:rsid w:val="000A6FEE"/>
    <w:rsid w:val="000B07E0"/>
    <w:rsid w:val="000B4503"/>
    <w:rsid w:val="000B61A7"/>
    <w:rsid w:val="000B67D5"/>
    <w:rsid w:val="000B6E3D"/>
    <w:rsid w:val="000B7156"/>
    <w:rsid w:val="000C084E"/>
    <w:rsid w:val="000C3052"/>
    <w:rsid w:val="000C7624"/>
    <w:rsid w:val="000D1B2F"/>
    <w:rsid w:val="000E0FBB"/>
    <w:rsid w:val="000E4568"/>
    <w:rsid w:val="000E4856"/>
    <w:rsid w:val="000E56B8"/>
    <w:rsid w:val="000E616F"/>
    <w:rsid w:val="000F03C5"/>
    <w:rsid w:val="000F2239"/>
    <w:rsid w:val="000F24A7"/>
    <w:rsid w:val="000F5DDF"/>
    <w:rsid w:val="000F5F78"/>
    <w:rsid w:val="001047EA"/>
    <w:rsid w:val="001119FF"/>
    <w:rsid w:val="00115ACF"/>
    <w:rsid w:val="00116108"/>
    <w:rsid w:val="00120D9F"/>
    <w:rsid w:val="001252E2"/>
    <w:rsid w:val="00125CA5"/>
    <w:rsid w:val="00130BAF"/>
    <w:rsid w:val="0013142D"/>
    <w:rsid w:val="001332CF"/>
    <w:rsid w:val="00133F86"/>
    <w:rsid w:val="00140DCD"/>
    <w:rsid w:val="00141971"/>
    <w:rsid w:val="00142690"/>
    <w:rsid w:val="001438CC"/>
    <w:rsid w:val="0014531F"/>
    <w:rsid w:val="001462D9"/>
    <w:rsid w:val="001502ED"/>
    <w:rsid w:val="00152568"/>
    <w:rsid w:val="0015256B"/>
    <w:rsid w:val="001529F4"/>
    <w:rsid w:val="00153A20"/>
    <w:rsid w:val="0015487B"/>
    <w:rsid w:val="00157E90"/>
    <w:rsid w:val="001605DF"/>
    <w:rsid w:val="00163D65"/>
    <w:rsid w:val="00164237"/>
    <w:rsid w:val="00165DAC"/>
    <w:rsid w:val="00166C6F"/>
    <w:rsid w:val="001729FE"/>
    <w:rsid w:val="0017375F"/>
    <w:rsid w:val="00173F39"/>
    <w:rsid w:val="0017687A"/>
    <w:rsid w:val="001777C7"/>
    <w:rsid w:val="00190C1B"/>
    <w:rsid w:val="00193EFD"/>
    <w:rsid w:val="00197C45"/>
    <w:rsid w:val="001A0434"/>
    <w:rsid w:val="001A129F"/>
    <w:rsid w:val="001A6C21"/>
    <w:rsid w:val="001B0204"/>
    <w:rsid w:val="001B1C19"/>
    <w:rsid w:val="001B24FD"/>
    <w:rsid w:val="001B3F7E"/>
    <w:rsid w:val="001B4CBD"/>
    <w:rsid w:val="001B51C8"/>
    <w:rsid w:val="001B7566"/>
    <w:rsid w:val="001B797A"/>
    <w:rsid w:val="001C12BA"/>
    <w:rsid w:val="001C1330"/>
    <w:rsid w:val="001C2D04"/>
    <w:rsid w:val="001C3B06"/>
    <w:rsid w:val="001C52AC"/>
    <w:rsid w:val="001C5EC6"/>
    <w:rsid w:val="001D1A6D"/>
    <w:rsid w:val="001D4D3D"/>
    <w:rsid w:val="001D7BB8"/>
    <w:rsid w:val="001D7F3E"/>
    <w:rsid w:val="001E19A2"/>
    <w:rsid w:val="001E3391"/>
    <w:rsid w:val="001E5453"/>
    <w:rsid w:val="001F121C"/>
    <w:rsid w:val="001F173D"/>
    <w:rsid w:val="001F1B48"/>
    <w:rsid w:val="001F3028"/>
    <w:rsid w:val="001F3274"/>
    <w:rsid w:val="001F35C7"/>
    <w:rsid w:val="001F555F"/>
    <w:rsid w:val="001F6E01"/>
    <w:rsid w:val="00200573"/>
    <w:rsid w:val="00200706"/>
    <w:rsid w:val="00201B95"/>
    <w:rsid w:val="002038B0"/>
    <w:rsid w:val="0021060B"/>
    <w:rsid w:val="00210D52"/>
    <w:rsid w:val="00215490"/>
    <w:rsid w:val="00215E1C"/>
    <w:rsid w:val="00216E72"/>
    <w:rsid w:val="0022389E"/>
    <w:rsid w:val="00225094"/>
    <w:rsid w:val="00225A75"/>
    <w:rsid w:val="00226C85"/>
    <w:rsid w:val="00227B79"/>
    <w:rsid w:val="00230AE4"/>
    <w:rsid w:val="0023102C"/>
    <w:rsid w:val="00234BB1"/>
    <w:rsid w:val="00237D95"/>
    <w:rsid w:val="00237E5A"/>
    <w:rsid w:val="00242567"/>
    <w:rsid w:val="00243006"/>
    <w:rsid w:val="002440C0"/>
    <w:rsid w:val="002510E9"/>
    <w:rsid w:val="0025276D"/>
    <w:rsid w:val="00252B24"/>
    <w:rsid w:val="00254140"/>
    <w:rsid w:val="00263089"/>
    <w:rsid w:val="00263EE6"/>
    <w:rsid w:val="00264CB3"/>
    <w:rsid w:val="00267523"/>
    <w:rsid w:val="00271ED6"/>
    <w:rsid w:val="0027274C"/>
    <w:rsid w:val="00273338"/>
    <w:rsid w:val="00275FC9"/>
    <w:rsid w:val="00276A96"/>
    <w:rsid w:val="00276D14"/>
    <w:rsid w:val="00285785"/>
    <w:rsid w:val="00290D9D"/>
    <w:rsid w:val="0029110A"/>
    <w:rsid w:val="0029127B"/>
    <w:rsid w:val="00291CEC"/>
    <w:rsid w:val="00292788"/>
    <w:rsid w:val="00292D30"/>
    <w:rsid w:val="00293CCF"/>
    <w:rsid w:val="002947E2"/>
    <w:rsid w:val="00294C11"/>
    <w:rsid w:val="0029502B"/>
    <w:rsid w:val="00295CD9"/>
    <w:rsid w:val="00296D38"/>
    <w:rsid w:val="00297871"/>
    <w:rsid w:val="002A1986"/>
    <w:rsid w:val="002A2497"/>
    <w:rsid w:val="002A29B5"/>
    <w:rsid w:val="002A4CEF"/>
    <w:rsid w:val="002A5113"/>
    <w:rsid w:val="002A7039"/>
    <w:rsid w:val="002A7DFB"/>
    <w:rsid w:val="002A7F46"/>
    <w:rsid w:val="002B1ECA"/>
    <w:rsid w:val="002B250B"/>
    <w:rsid w:val="002B2526"/>
    <w:rsid w:val="002B45D7"/>
    <w:rsid w:val="002B6F22"/>
    <w:rsid w:val="002B7354"/>
    <w:rsid w:val="002B7932"/>
    <w:rsid w:val="002C1F50"/>
    <w:rsid w:val="002C5D34"/>
    <w:rsid w:val="002D03EE"/>
    <w:rsid w:val="002D3404"/>
    <w:rsid w:val="002D45C7"/>
    <w:rsid w:val="002D5A5C"/>
    <w:rsid w:val="002D77A0"/>
    <w:rsid w:val="002D77DA"/>
    <w:rsid w:val="002F2ACB"/>
    <w:rsid w:val="002F55A8"/>
    <w:rsid w:val="002F7BC9"/>
    <w:rsid w:val="00300BA0"/>
    <w:rsid w:val="003028C9"/>
    <w:rsid w:val="00305320"/>
    <w:rsid w:val="00310300"/>
    <w:rsid w:val="00311525"/>
    <w:rsid w:val="003120B5"/>
    <w:rsid w:val="003157BE"/>
    <w:rsid w:val="0031779C"/>
    <w:rsid w:val="00321121"/>
    <w:rsid w:val="00324D2E"/>
    <w:rsid w:val="0032576A"/>
    <w:rsid w:val="0032588F"/>
    <w:rsid w:val="00331282"/>
    <w:rsid w:val="00332B7C"/>
    <w:rsid w:val="00334999"/>
    <w:rsid w:val="00334F83"/>
    <w:rsid w:val="00335587"/>
    <w:rsid w:val="0033765F"/>
    <w:rsid w:val="00337CDF"/>
    <w:rsid w:val="0034106C"/>
    <w:rsid w:val="003441E7"/>
    <w:rsid w:val="00345119"/>
    <w:rsid w:val="0035035F"/>
    <w:rsid w:val="0035056A"/>
    <w:rsid w:val="00351B2D"/>
    <w:rsid w:val="00354227"/>
    <w:rsid w:val="003571B0"/>
    <w:rsid w:val="003605D6"/>
    <w:rsid w:val="00361458"/>
    <w:rsid w:val="003614DD"/>
    <w:rsid w:val="00365465"/>
    <w:rsid w:val="00366EFF"/>
    <w:rsid w:val="003678D4"/>
    <w:rsid w:val="00370259"/>
    <w:rsid w:val="0037055E"/>
    <w:rsid w:val="00372E4F"/>
    <w:rsid w:val="00375716"/>
    <w:rsid w:val="00377504"/>
    <w:rsid w:val="00377B9A"/>
    <w:rsid w:val="003822DD"/>
    <w:rsid w:val="00382670"/>
    <w:rsid w:val="0038331D"/>
    <w:rsid w:val="00383B1F"/>
    <w:rsid w:val="00383F13"/>
    <w:rsid w:val="00384550"/>
    <w:rsid w:val="0038595D"/>
    <w:rsid w:val="0038783F"/>
    <w:rsid w:val="003903EF"/>
    <w:rsid w:val="00390F15"/>
    <w:rsid w:val="003916FC"/>
    <w:rsid w:val="00394798"/>
    <w:rsid w:val="0039506D"/>
    <w:rsid w:val="00395220"/>
    <w:rsid w:val="0039646D"/>
    <w:rsid w:val="003A771A"/>
    <w:rsid w:val="003B1CEE"/>
    <w:rsid w:val="003B4667"/>
    <w:rsid w:val="003B632B"/>
    <w:rsid w:val="003C271E"/>
    <w:rsid w:val="003C33EF"/>
    <w:rsid w:val="003C3A0A"/>
    <w:rsid w:val="003C3FF3"/>
    <w:rsid w:val="003C4E64"/>
    <w:rsid w:val="003C7B5B"/>
    <w:rsid w:val="003C7C9D"/>
    <w:rsid w:val="003D2AB7"/>
    <w:rsid w:val="003D3F25"/>
    <w:rsid w:val="003D66E8"/>
    <w:rsid w:val="003D7D2E"/>
    <w:rsid w:val="003E5B92"/>
    <w:rsid w:val="003E64A0"/>
    <w:rsid w:val="003F19B6"/>
    <w:rsid w:val="003F2092"/>
    <w:rsid w:val="00400537"/>
    <w:rsid w:val="00402B30"/>
    <w:rsid w:val="00402CF8"/>
    <w:rsid w:val="00403000"/>
    <w:rsid w:val="004044BC"/>
    <w:rsid w:val="00405D2F"/>
    <w:rsid w:val="00410A09"/>
    <w:rsid w:val="004116FB"/>
    <w:rsid w:val="0041432E"/>
    <w:rsid w:val="00417DB0"/>
    <w:rsid w:val="0042217B"/>
    <w:rsid w:val="004267CC"/>
    <w:rsid w:val="004304E0"/>
    <w:rsid w:val="004329A8"/>
    <w:rsid w:val="00433672"/>
    <w:rsid w:val="00434A5F"/>
    <w:rsid w:val="00434CFE"/>
    <w:rsid w:val="00435E99"/>
    <w:rsid w:val="00437383"/>
    <w:rsid w:val="00442EE3"/>
    <w:rsid w:val="00444DE6"/>
    <w:rsid w:val="004455D8"/>
    <w:rsid w:val="00446AB0"/>
    <w:rsid w:val="004503FD"/>
    <w:rsid w:val="0046016E"/>
    <w:rsid w:val="00465125"/>
    <w:rsid w:val="00467A7E"/>
    <w:rsid w:val="004734FA"/>
    <w:rsid w:val="00474E7D"/>
    <w:rsid w:val="00475DB1"/>
    <w:rsid w:val="00477810"/>
    <w:rsid w:val="00483B70"/>
    <w:rsid w:val="00484EEB"/>
    <w:rsid w:val="00487193"/>
    <w:rsid w:val="004905CE"/>
    <w:rsid w:val="00490B67"/>
    <w:rsid w:val="00495CD8"/>
    <w:rsid w:val="00495D08"/>
    <w:rsid w:val="004A4023"/>
    <w:rsid w:val="004B40FE"/>
    <w:rsid w:val="004B4937"/>
    <w:rsid w:val="004B5D84"/>
    <w:rsid w:val="004C0574"/>
    <w:rsid w:val="004C1199"/>
    <w:rsid w:val="004C3007"/>
    <w:rsid w:val="004C595D"/>
    <w:rsid w:val="004C7727"/>
    <w:rsid w:val="004D0B76"/>
    <w:rsid w:val="004D3311"/>
    <w:rsid w:val="004D341C"/>
    <w:rsid w:val="004D3920"/>
    <w:rsid w:val="004D5CCA"/>
    <w:rsid w:val="004E132B"/>
    <w:rsid w:val="004E24A7"/>
    <w:rsid w:val="004F2981"/>
    <w:rsid w:val="004F6293"/>
    <w:rsid w:val="00500466"/>
    <w:rsid w:val="005017F6"/>
    <w:rsid w:val="00504080"/>
    <w:rsid w:val="00504AAC"/>
    <w:rsid w:val="005067E2"/>
    <w:rsid w:val="005072B4"/>
    <w:rsid w:val="005115B9"/>
    <w:rsid w:val="00514D35"/>
    <w:rsid w:val="00515BD0"/>
    <w:rsid w:val="00516991"/>
    <w:rsid w:val="00516AEC"/>
    <w:rsid w:val="00516EE2"/>
    <w:rsid w:val="00516F1B"/>
    <w:rsid w:val="00517FE3"/>
    <w:rsid w:val="00521B53"/>
    <w:rsid w:val="005233AB"/>
    <w:rsid w:val="0053107D"/>
    <w:rsid w:val="00533757"/>
    <w:rsid w:val="005339D9"/>
    <w:rsid w:val="00533F21"/>
    <w:rsid w:val="00534008"/>
    <w:rsid w:val="00541582"/>
    <w:rsid w:val="00541ED6"/>
    <w:rsid w:val="0054649E"/>
    <w:rsid w:val="005478A0"/>
    <w:rsid w:val="005512D8"/>
    <w:rsid w:val="00551A64"/>
    <w:rsid w:val="00553A7D"/>
    <w:rsid w:val="00554216"/>
    <w:rsid w:val="00554AC7"/>
    <w:rsid w:val="005559B5"/>
    <w:rsid w:val="00557F28"/>
    <w:rsid w:val="00560A32"/>
    <w:rsid w:val="00561CED"/>
    <w:rsid w:val="00562B64"/>
    <w:rsid w:val="00562F00"/>
    <w:rsid w:val="005632B5"/>
    <w:rsid w:val="005634AD"/>
    <w:rsid w:val="005642A7"/>
    <w:rsid w:val="005664BE"/>
    <w:rsid w:val="00572A84"/>
    <w:rsid w:val="00572EF1"/>
    <w:rsid w:val="00573DF1"/>
    <w:rsid w:val="00574314"/>
    <w:rsid w:val="00575A76"/>
    <w:rsid w:val="005806FF"/>
    <w:rsid w:val="00580913"/>
    <w:rsid w:val="00584461"/>
    <w:rsid w:val="00585653"/>
    <w:rsid w:val="00585D43"/>
    <w:rsid w:val="00586901"/>
    <w:rsid w:val="00587209"/>
    <w:rsid w:val="00587807"/>
    <w:rsid w:val="00590E64"/>
    <w:rsid w:val="00591478"/>
    <w:rsid w:val="005919FB"/>
    <w:rsid w:val="0059342C"/>
    <w:rsid w:val="00593AF6"/>
    <w:rsid w:val="00594B27"/>
    <w:rsid w:val="00595B73"/>
    <w:rsid w:val="00597729"/>
    <w:rsid w:val="005A3C87"/>
    <w:rsid w:val="005A756C"/>
    <w:rsid w:val="005A7EA2"/>
    <w:rsid w:val="005B00B8"/>
    <w:rsid w:val="005B1B85"/>
    <w:rsid w:val="005B2807"/>
    <w:rsid w:val="005B583C"/>
    <w:rsid w:val="005B6A11"/>
    <w:rsid w:val="005B7AEF"/>
    <w:rsid w:val="005C029C"/>
    <w:rsid w:val="005C03E8"/>
    <w:rsid w:val="005C1F95"/>
    <w:rsid w:val="005C300A"/>
    <w:rsid w:val="005C38F9"/>
    <w:rsid w:val="005C5722"/>
    <w:rsid w:val="005C5B92"/>
    <w:rsid w:val="005C5B9E"/>
    <w:rsid w:val="005D1186"/>
    <w:rsid w:val="005D4BC1"/>
    <w:rsid w:val="005D7FB3"/>
    <w:rsid w:val="005E1927"/>
    <w:rsid w:val="005E2977"/>
    <w:rsid w:val="005E2A3D"/>
    <w:rsid w:val="005E6D24"/>
    <w:rsid w:val="005E75B8"/>
    <w:rsid w:val="005F1DA1"/>
    <w:rsid w:val="005F302B"/>
    <w:rsid w:val="005F33E7"/>
    <w:rsid w:val="005F380F"/>
    <w:rsid w:val="005F45D4"/>
    <w:rsid w:val="005F6F79"/>
    <w:rsid w:val="005F71FA"/>
    <w:rsid w:val="00601F2E"/>
    <w:rsid w:val="006029A3"/>
    <w:rsid w:val="0060421E"/>
    <w:rsid w:val="00605022"/>
    <w:rsid w:val="0060771D"/>
    <w:rsid w:val="00611492"/>
    <w:rsid w:val="00612BA5"/>
    <w:rsid w:val="00613111"/>
    <w:rsid w:val="0061710F"/>
    <w:rsid w:val="00621178"/>
    <w:rsid w:val="00624BEB"/>
    <w:rsid w:val="00626424"/>
    <w:rsid w:val="00626AE7"/>
    <w:rsid w:val="00626E81"/>
    <w:rsid w:val="00630BB4"/>
    <w:rsid w:val="0063199D"/>
    <w:rsid w:val="00633249"/>
    <w:rsid w:val="00635714"/>
    <w:rsid w:val="006363FF"/>
    <w:rsid w:val="00640816"/>
    <w:rsid w:val="00646CE9"/>
    <w:rsid w:val="00655FF3"/>
    <w:rsid w:val="00656544"/>
    <w:rsid w:val="00656BAC"/>
    <w:rsid w:val="006608D7"/>
    <w:rsid w:val="00661737"/>
    <w:rsid w:val="006650A8"/>
    <w:rsid w:val="00665643"/>
    <w:rsid w:val="00670914"/>
    <w:rsid w:val="00671C74"/>
    <w:rsid w:val="006720F4"/>
    <w:rsid w:val="006723B9"/>
    <w:rsid w:val="00673E3A"/>
    <w:rsid w:val="00674EE4"/>
    <w:rsid w:val="00675530"/>
    <w:rsid w:val="00675FFA"/>
    <w:rsid w:val="00676BAB"/>
    <w:rsid w:val="00681545"/>
    <w:rsid w:val="00681AEE"/>
    <w:rsid w:val="00686242"/>
    <w:rsid w:val="00692614"/>
    <w:rsid w:val="00695D21"/>
    <w:rsid w:val="00695E2E"/>
    <w:rsid w:val="0069641D"/>
    <w:rsid w:val="006A028A"/>
    <w:rsid w:val="006A1EAB"/>
    <w:rsid w:val="006A4148"/>
    <w:rsid w:val="006B18E8"/>
    <w:rsid w:val="006B1E38"/>
    <w:rsid w:val="006B3A59"/>
    <w:rsid w:val="006C1402"/>
    <w:rsid w:val="006C2BA0"/>
    <w:rsid w:val="006C3BD7"/>
    <w:rsid w:val="006C4A40"/>
    <w:rsid w:val="006C4DAA"/>
    <w:rsid w:val="006C594E"/>
    <w:rsid w:val="006D3817"/>
    <w:rsid w:val="006D38C5"/>
    <w:rsid w:val="006D69C3"/>
    <w:rsid w:val="006E09A0"/>
    <w:rsid w:val="006E2FE4"/>
    <w:rsid w:val="006F145D"/>
    <w:rsid w:val="006F2E12"/>
    <w:rsid w:val="006F3AE9"/>
    <w:rsid w:val="006F3F62"/>
    <w:rsid w:val="006F47EF"/>
    <w:rsid w:val="006F4952"/>
    <w:rsid w:val="00705E09"/>
    <w:rsid w:val="0070701A"/>
    <w:rsid w:val="00714551"/>
    <w:rsid w:val="007161AE"/>
    <w:rsid w:val="00721015"/>
    <w:rsid w:val="00723F4F"/>
    <w:rsid w:val="007261D0"/>
    <w:rsid w:val="00726ADF"/>
    <w:rsid w:val="007278E2"/>
    <w:rsid w:val="0072793C"/>
    <w:rsid w:val="00730F24"/>
    <w:rsid w:val="007353FC"/>
    <w:rsid w:val="00736AA5"/>
    <w:rsid w:val="007415EE"/>
    <w:rsid w:val="0074692D"/>
    <w:rsid w:val="00755A13"/>
    <w:rsid w:val="007578B7"/>
    <w:rsid w:val="00757C8E"/>
    <w:rsid w:val="0076061D"/>
    <w:rsid w:val="0076096C"/>
    <w:rsid w:val="0076151E"/>
    <w:rsid w:val="007622E2"/>
    <w:rsid w:val="007638AC"/>
    <w:rsid w:val="00764BD4"/>
    <w:rsid w:val="007659AE"/>
    <w:rsid w:val="0076712E"/>
    <w:rsid w:val="00770FB0"/>
    <w:rsid w:val="00771D49"/>
    <w:rsid w:val="007721F8"/>
    <w:rsid w:val="0077402A"/>
    <w:rsid w:val="00774E80"/>
    <w:rsid w:val="00777240"/>
    <w:rsid w:val="00777DA1"/>
    <w:rsid w:val="00780743"/>
    <w:rsid w:val="0078413F"/>
    <w:rsid w:val="0078487A"/>
    <w:rsid w:val="00790DE9"/>
    <w:rsid w:val="0079364E"/>
    <w:rsid w:val="007937D0"/>
    <w:rsid w:val="00793C04"/>
    <w:rsid w:val="00795138"/>
    <w:rsid w:val="007951D0"/>
    <w:rsid w:val="00795C0B"/>
    <w:rsid w:val="00796583"/>
    <w:rsid w:val="007A221F"/>
    <w:rsid w:val="007A37C4"/>
    <w:rsid w:val="007A4AE5"/>
    <w:rsid w:val="007A5869"/>
    <w:rsid w:val="007A60F9"/>
    <w:rsid w:val="007A761A"/>
    <w:rsid w:val="007A7A8E"/>
    <w:rsid w:val="007B109B"/>
    <w:rsid w:val="007B489A"/>
    <w:rsid w:val="007B53E7"/>
    <w:rsid w:val="007B5D4D"/>
    <w:rsid w:val="007B5E25"/>
    <w:rsid w:val="007B6984"/>
    <w:rsid w:val="007B77C9"/>
    <w:rsid w:val="007C1705"/>
    <w:rsid w:val="007C617E"/>
    <w:rsid w:val="007C7693"/>
    <w:rsid w:val="007D2542"/>
    <w:rsid w:val="007D2DB4"/>
    <w:rsid w:val="007D3E73"/>
    <w:rsid w:val="007D57C3"/>
    <w:rsid w:val="007D68CD"/>
    <w:rsid w:val="007E00A5"/>
    <w:rsid w:val="007E06D3"/>
    <w:rsid w:val="007E1C2C"/>
    <w:rsid w:val="007F0995"/>
    <w:rsid w:val="007F3538"/>
    <w:rsid w:val="007F57E1"/>
    <w:rsid w:val="00802FF3"/>
    <w:rsid w:val="00803D02"/>
    <w:rsid w:val="00807A52"/>
    <w:rsid w:val="00814742"/>
    <w:rsid w:val="0081580F"/>
    <w:rsid w:val="008211CB"/>
    <w:rsid w:val="0082290E"/>
    <w:rsid w:val="00822AF6"/>
    <w:rsid w:val="0082346E"/>
    <w:rsid w:val="00825033"/>
    <w:rsid w:val="00827F32"/>
    <w:rsid w:val="00830E0E"/>
    <w:rsid w:val="00831519"/>
    <w:rsid w:val="00833B86"/>
    <w:rsid w:val="00835286"/>
    <w:rsid w:val="00835C1D"/>
    <w:rsid w:val="00836809"/>
    <w:rsid w:val="00837C56"/>
    <w:rsid w:val="008415AD"/>
    <w:rsid w:val="00842A08"/>
    <w:rsid w:val="00846F61"/>
    <w:rsid w:val="00850A30"/>
    <w:rsid w:val="008510A9"/>
    <w:rsid w:val="0085187A"/>
    <w:rsid w:val="008558D3"/>
    <w:rsid w:val="0086079F"/>
    <w:rsid w:val="00861445"/>
    <w:rsid w:val="00862AD0"/>
    <w:rsid w:val="00867F05"/>
    <w:rsid w:val="008723F6"/>
    <w:rsid w:val="008740B9"/>
    <w:rsid w:val="00877682"/>
    <w:rsid w:val="008813A0"/>
    <w:rsid w:val="008813AE"/>
    <w:rsid w:val="00882B15"/>
    <w:rsid w:val="008836EF"/>
    <w:rsid w:val="008860FB"/>
    <w:rsid w:val="00894876"/>
    <w:rsid w:val="008A0CD0"/>
    <w:rsid w:val="008A7A15"/>
    <w:rsid w:val="008B1BE5"/>
    <w:rsid w:val="008B5F66"/>
    <w:rsid w:val="008B7081"/>
    <w:rsid w:val="008C21A3"/>
    <w:rsid w:val="008C7CAA"/>
    <w:rsid w:val="008C7E74"/>
    <w:rsid w:val="008C7F16"/>
    <w:rsid w:val="008D08DF"/>
    <w:rsid w:val="008D16FB"/>
    <w:rsid w:val="008D5A1E"/>
    <w:rsid w:val="008D77F2"/>
    <w:rsid w:val="008E1349"/>
    <w:rsid w:val="008E2E23"/>
    <w:rsid w:val="008E3D76"/>
    <w:rsid w:val="008E789A"/>
    <w:rsid w:val="008F0C6D"/>
    <w:rsid w:val="008F24FE"/>
    <w:rsid w:val="008F321E"/>
    <w:rsid w:val="008F3F81"/>
    <w:rsid w:val="008F463A"/>
    <w:rsid w:val="008F662D"/>
    <w:rsid w:val="009001E8"/>
    <w:rsid w:val="00901352"/>
    <w:rsid w:val="0090462B"/>
    <w:rsid w:val="00907B4F"/>
    <w:rsid w:val="00907DEA"/>
    <w:rsid w:val="00911639"/>
    <w:rsid w:val="00913286"/>
    <w:rsid w:val="00913F16"/>
    <w:rsid w:val="00917967"/>
    <w:rsid w:val="00921DAD"/>
    <w:rsid w:val="00922356"/>
    <w:rsid w:val="00922D66"/>
    <w:rsid w:val="00922F51"/>
    <w:rsid w:val="00923780"/>
    <w:rsid w:val="009246D5"/>
    <w:rsid w:val="0092582E"/>
    <w:rsid w:val="00927970"/>
    <w:rsid w:val="00931E30"/>
    <w:rsid w:val="00934238"/>
    <w:rsid w:val="00935A1A"/>
    <w:rsid w:val="009361D6"/>
    <w:rsid w:val="00937DA2"/>
    <w:rsid w:val="009416AA"/>
    <w:rsid w:val="00941CBC"/>
    <w:rsid w:val="009433E5"/>
    <w:rsid w:val="009450DD"/>
    <w:rsid w:val="009461C0"/>
    <w:rsid w:val="00952569"/>
    <w:rsid w:val="0095332F"/>
    <w:rsid w:val="00954535"/>
    <w:rsid w:val="009553E1"/>
    <w:rsid w:val="00962DB9"/>
    <w:rsid w:val="00964807"/>
    <w:rsid w:val="00966803"/>
    <w:rsid w:val="00966C03"/>
    <w:rsid w:val="00967470"/>
    <w:rsid w:val="00971BDC"/>
    <w:rsid w:val="00972202"/>
    <w:rsid w:val="00972877"/>
    <w:rsid w:val="00972A39"/>
    <w:rsid w:val="00973142"/>
    <w:rsid w:val="0098062B"/>
    <w:rsid w:val="00980846"/>
    <w:rsid w:val="00982419"/>
    <w:rsid w:val="0098352C"/>
    <w:rsid w:val="009839F7"/>
    <w:rsid w:val="00984FE3"/>
    <w:rsid w:val="0099046B"/>
    <w:rsid w:val="00993A66"/>
    <w:rsid w:val="009953D8"/>
    <w:rsid w:val="00997345"/>
    <w:rsid w:val="009A65F2"/>
    <w:rsid w:val="009A6EDD"/>
    <w:rsid w:val="009A78DC"/>
    <w:rsid w:val="009B621E"/>
    <w:rsid w:val="009B78F7"/>
    <w:rsid w:val="009C2EB8"/>
    <w:rsid w:val="009C5E7A"/>
    <w:rsid w:val="009D3589"/>
    <w:rsid w:val="009D4132"/>
    <w:rsid w:val="009D55F6"/>
    <w:rsid w:val="009E232D"/>
    <w:rsid w:val="009E422D"/>
    <w:rsid w:val="009E4751"/>
    <w:rsid w:val="009E62CF"/>
    <w:rsid w:val="009E63CC"/>
    <w:rsid w:val="009E6BE4"/>
    <w:rsid w:val="009E739A"/>
    <w:rsid w:val="009E7871"/>
    <w:rsid w:val="009E7952"/>
    <w:rsid w:val="009F2ACC"/>
    <w:rsid w:val="009F35AA"/>
    <w:rsid w:val="009F6004"/>
    <w:rsid w:val="009F653F"/>
    <w:rsid w:val="00A00539"/>
    <w:rsid w:val="00A0285B"/>
    <w:rsid w:val="00A0339D"/>
    <w:rsid w:val="00A0475F"/>
    <w:rsid w:val="00A04CF2"/>
    <w:rsid w:val="00A103DF"/>
    <w:rsid w:val="00A14032"/>
    <w:rsid w:val="00A160D6"/>
    <w:rsid w:val="00A2133E"/>
    <w:rsid w:val="00A2137E"/>
    <w:rsid w:val="00A22E61"/>
    <w:rsid w:val="00A266C5"/>
    <w:rsid w:val="00A32D5A"/>
    <w:rsid w:val="00A3426C"/>
    <w:rsid w:val="00A35E78"/>
    <w:rsid w:val="00A36283"/>
    <w:rsid w:val="00A40194"/>
    <w:rsid w:val="00A402A2"/>
    <w:rsid w:val="00A40A3F"/>
    <w:rsid w:val="00A40C46"/>
    <w:rsid w:val="00A41831"/>
    <w:rsid w:val="00A42EF1"/>
    <w:rsid w:val="00A44C9D"/>
    <w:rsid w:val="00A50FDA"/>
    <w:rsid w:val="00A51B72"/>
    <w:rsid w:val="00A563B2"/>
    <w:rsid w:val="00A56D84"/>
    <w:rsid w:val="00A60001"/>
    <w:rsid w:val="00A62D39"/>
    <w:rsid w:val="00A63A31"/>
    <w:rsid w:val="00A65BE6"/>
    <w:rsid w:val="00A666E0"/>
    <w:rsid w:val="00A66D7E"/>
    <w:rsid w:val="00A71FD7"/>
    <w:rsid w:val="00A72D1D"/>
    <w:rsid w:val="00A72FB6"/>
    <w:rsid w:val="00A73323"/>
    <w:rsid w:val="00A76647"/>
    <w:rsid w:val="00A81AE0"/>
    <w:rsid w:val="00A82F8F"/>
    <w:rsid w:val="00A83837"/>
    <w:rsid w:val="00A83E63"/>
    <w:rsid w:val="00A846C0"/>
    <w:rsid w:val="00A86644"/>
    <w:rsid w:val="00A902EE"/>
    <w:rsid w:val="00A913C8"/>
    <w:rsid w:val="00A920EC"/>
    <w:rsid w:val="00A92828"/>
    <w:rsid w:val="00A934B4"/>
    <w:rsid w:val="00A94F1B"/>
    <w:rsid w:val="00AA5400"/>
    <w:rsid w:val="00AA54CD"/>
    <w:rsid w:val="00AA60E0"/>
    <w:rsid w:val="00AA70B6"/>
    <w:rsid w:val="00AB25F4"/>
    <w:rsid w:val="00AB26A9"/>
    <w:rsid w:val="00AB2FC2"/>
    <w:rsid w:val="00AB3523"/>
    <w:rsid w:val="00AB378C"/>
    <w:rsid w:val="00AB5BC6"/>
    <w:rsid w:val="00AB5ECD"/>
    <w:rsid w:val="00AB6327"/>
    <w:rsid w:val="00AB642A"/>
    <w:rsid w:val="00AB7982"/>
    <w:rsid w:val="00AB7F95"/>
    <w:rsid w:val="00AC00CC"/>
    <w:rsid w:val="00AC00F5"/>
    <w:rsid w:val="00AC0607"/>
    <w:rsid w:val="00AC580E"/>
    <w:rsid w:val="00AC58C3"/>
    <w:rsid w:val="00AC6011"/>
    <w:rsid w:val="00AD0EB8"/>
    <w:rsid w:val="00AD1F15"/>
    <w:rsid w:val="00AD4C7F"/>
    <w:rsid w:val="00AD4E5C"/>
    <w:rsid w:val="00AD5EC9"/>
    <w:rsid w:val="00AD5FA4"/>
    <w:rsid w:val="00AD65E7"/>
    <w:rsid w:val="00AD6F90"/>
    <w:rsid w:val="00AD76B7"/>
    <w:rsid w:val="00AE3C40"/>
    <w:rsid w:val="00AE48CA"/>
    <w:rsid w:val="00AE722E"/>
    <w:rsid w:val="00AF083C"/>
    <w:rsid w:val="00AF0DFA"/>
    <w:rsid w:val="00AF3179"/>
    <w:rsid w:val="00AF3ECB"/>
    <w:rsid w:val="00AF41B3"/>
    <w:rsid w:val="00AF4935"/>
    <w:rsid w:val="00AF5046"/>
    <w:rsid w:val="00AF6E39"/>
    <w:rsid w:val="00AF7DF1"/>
    <w:rsid w:val="00B040DA"/>
    <w:rsid w:val="00B04A0B"/>
    <w:rsid w:val="00B05207"/>
    <w:rsid w:val="00B055CB"/>
    <w:rsid w:val="00B05677"/>
    <w:rsid w:val="00B07438"/>
    <w:rsid w:val="00B07CFD"/>
    <w:rsid w:val="00B10557"/>
    <w:rsid w:val="00B1074F"/>
    <w:rsid w:val="00B13644"/>
    <w:rsid w:val="00B14C80"/>
    <w:rsid w:val="00B210C7"/>
    <w:rsid w:val="00B23CA0"/>
    <w:rsid w:val="00B26FC5"/>
    <w:rsid w:val="00B31CDD"/>
    <w:rsid w:val="00B32C69"/>
    <w:rsid w:val="00B33461"/>
    <w:rsid w:val="00B341BB"/>
    <w:rsid w:val="00B35705"/>
    <w:rsid w:val="00B367A0"/>
    <w:rsid w:val="00B37A05"/>
    <w:rsid w:val="00B37D2F"/>
    <w:rsid w:val="00B4021C"/>
    <w:rsid w:val="00B41B1D"/>
    <w:rsid w:val="00B44B69"/>
    <w:rsid w:val="00B44B92"/>
    <w:rsid w:val="00B45189"/>
    <w:rsid w:val="00B45E7E"/>
    <w:rsid w:val="00B51F01"/>
    <w:rsid w:val="00B5259A"/>
    <w:rsid w:val="00B53F73"/>
    <w:rsid w:val="00B5571C"/>
    <w:rsid w:val="00B56E86"/>
    <w:rsid w:val="00B57748"/>
    <w:rsid w:val="00B608AA"/>
    <w:rsid w:val="00B61810"/>
    <w:rsid w:val="00B61A45"/>
    <w:rsid w:val="00B666D2"/>
    <w:rsid w:val="00B713B3"/>
    <w:rsid w:val="00B714C0"/>
    <w:rsid w:val="00B738AB"/>
    <w:rsid w:val="00B749AF"/>
    <w:rsid w:val="00B76BA4"/>
    <w:rsid w:val="00B80DB3"/>
    <w:rsid w:val="00B8514E"/>
    <w:rsid w:val="00B8549E"/>
    <w:rsid w:val="00B85A71"/>
    <w:rsid w:val="00B90201"/>
    <w:rsid w:val="00B906C8"/>
    <w:rsid w:val="00B91FBE"/>
    <w:rsid w:val="00B97AE4"/>
    <w:rsid w:val="00BA04B3"/>
    <w:rsid w:val="00BA50E8"/>
    <w:rsid w:val="00BA6637"/>
    <w:rsid w:val="00BB1B4A"/>
    <w:rsid w:val="00BB21B8"/>
    <w:rsid w:val="00BC1B74"/>
    <w:rsid w:val="00BC6139"/>
    <w:rsid w:val="00BD1BBF"/>
    <w:rsid w:val="00BD2637"/>
    <w:rsid w:val="00BD28D5"/>
    <w:rsid w:val="00BD359B"/>
    <w:rsid w:val="00BD3ABC"/>
    <w:rsid w:val="00BD43F6"/>
    <w:rsid w:val="00BD5BA6"/>
    <w:rsid w:val="00BE0A8D"/>
    <w:rsid w:val="00BE3476"/>
    <w:rsid w:val="00BE3C99"/>
    <w:rsid w:val="00BE458B"/>
    <w:rsid w:val="00BE50B8"/>
    <w:rsid w:val="00BE5FE1"/>
    <w:rsid w:val="00BF183F"/>
    <w:rsid w:val="00BF1CF9"/>
    <w:rsid w:val="00BF36F2"/>
    <w:rsid w:val="00BF5745"/>
    <w:rsid w:val="00BF5AE6"/>
    <w:rsid w:val="00C01F98"/>
    <w:rsid w:val="00C04916"/>
    <w:rsid w:val="00C04B56"/>
    <w:rsid w:val="00C05C52"/>
    <w:rsid w:val="00C06DC5"/>
    <w:rsid w:val="00C118BA"/>
    <w:rsid w:val="00C1200D"/>
    <w:rsid w:val="00C12493"/>
    <w:rsid w:val="00C1341A"/>
    <w:rsid w:val="00C157D0"/>
    <w:rsid w:val="00C16E16"/>
    <w:rsid w:val="00C208DC"/>
    <w:rsid w:val="00C24CDA"/>
    <w:rsid w:val="00C26329"/>
    <w:rsid w:val="00C269D1"/>
    <w:rsid w:val="00C30911"/>
    <w:rsid w:val="00C32954"/>
    <w:rsid w:val="00C33036"/>
    <w:rsid w:val="00C34E06"/>
    <w:rsid w:val="00C35183"/>
    <w:rsid w:val="00C35945"/>
    <w:rsid w:val="00C4566B"/>
    <w:rsid w:val="00C52DAD"/>
    <w:rsid w:val="00C54453"/>
    <w:rsid w:val="00C56730"/>
    <w:rsid w:val="00C57897"/>
    <w:rsid w:val="00C61690"/>
    <w:rsid w:val="00C633A1"/>
    <w:rsid w:val="00C70074"/>
    <w:rsid w:val="00C71735"/>
    <w:rsid w:val="00C7313B"/>
    <w:rsid w:val="00C73B67"/>
    <w:rsid w:val="00C73E0E"/>
    <w:rsid w:val="00C77050"/>
    <w:rsid w:val="00C8115B"/>
    <w:rsid w:val="00C82CEA"/>
    <w:rsid w:val="00C84D8D"/>
    <w:rsid w:val="00C907F2"/>
    <w:rsid w:val="00C91FAD"/>
    <w:rsid w:val="00C925EB"/>
    <w:rsid w:val="00C93EB0"/>
    <w:rsid w:val="00C95532"/>
    <w:rsid w:val="00C96BC7"/>
    <w:rsid w:val="00C97B5C"/>
    <w:rsid w:val="00C97C4B"/>
    <w:rsid w:val="00C97D3B"/>
    <w:rsid w:val="00CA1625"/>
    <w:rsid w:val="00CA564F"/>
    <w:rsid w:val="00CB167E"/>
    <w:rsid w:val="00CB42FE"/>
    <w:rsid w:val="00CB46B5"/>
    <w:rsid w:val="00CB4D34"/>
    <w:rsid w:val="00CC2342"/>
    <w:rsid w:val="00CC27CC"/>
    <w:rsid w:val="00CC5D97"/>
    <w:rsid w:val="00CC613E"/>
    <w:rsid w:val="00CC6B14"/>
    <w:rsid w:val="00CD0B70"/>
    <w:rsid w:val="00CD0F20"/>
    <w:rsid w:val="00CD3C15"/>
    <w:rsid w:val="00CD4C6E"/>
    <w:rsid w:val="00CE021D"/>
    <w:rsid w:val="00CE08DE"/>
    <w:rsid w:val="00CE0D42"/>
    <w:rsid w:val="00CE3652"/>
    <w:rsid w:val="00CF1453"/>
    <w:rsid w:val="00CF171D"/>
    <w:rsid w:val="00CF6777"/>
    <w:rsid w:val="00CF6FC1"/>
    <w:rsid w:val="00D019C2"/>
    <w:rsid w:val="00D0276C"/>
    <w:rsid w:val="00D037C5"/>
    <w:rsid w:val="00D06FEC"/>
    <w:rsid w:val="00D115D6"/>
    <w:rsid w:val="00D13FF1"/>
    <w:rsid w:val="00D16483"/>
    <w:rsid w:val="00D2460E"/>
    <w:rsid w:val="00D24A29"/>
    <w:rsid w:val="00D266AB"/>
    <w:rsid w:val="00D26D2B"/>
    <w:rsid w:val="00D26FC1"/>
    <w:rsid w:val="00D32310"/>
    <w:rsid w:val="00D32C09"/>
    <w:rsid w:val="00D33D42"/>
    <w:rsid w:val="00D359B5"/>
    <w:rsid w:val="00D36517"/>
    <w:rsid w:val="00D366E5"/>
    <w:rsid w:val="00D37297"/>
    <w:rsid w:val="00D37BDB"/>
    <w:rsid w:val="00D40AA9"/>
    <w:rsid w:val="00D42AA2"/>
    <w:rsid w:val="00D42F0C"/>
    <w:rsid w:val="00D43F70"/>
    <w:rsid w:val="00D455B0"/>
    <w:rsid w:val="00D45CCF"/>
    <w:rsid w:val="00D478ED"/>
    <w:rsid w:val="00D508C2"/>
    <w:rsid w:val="00D51C45"/>
    <w:rsid w:val="00D52733"/>
    <w:rsid w:val="00D5347B"/>
    <w:rsid w:val="00D55E1A"/>
    <w:rsid w:val="00D60879"/>
    <w:rsid w:val="00D61316"/>
    <w:rsid w:val="00D62C07"/>
    <w:rsid w:val="00D65EB2"/>
    <w:rsid w:val="00D67D26"/>
    <w:rsid w:val="00D73E53"/>
    <w:rsid w:val="00D74648"/>
    <w:rsid w:val="00D7493E"/>
    <w:rsid w:val="00D75357"/>
    <w:rsid w:val="00D81A69"/>
    <w:rsid w:val="00D82248"/>
    <w:rsid w:val="00D82841"/>
    <w:rsid w:val="00D91F23"/>
    <w:rsid w:val="00D93923"/>
    <w:rsid w:val="00D948F6"/>
    <w:rsid w:val="00DA0B9B"/>
    <w:rsid w:val="00DA16EA"/>
    <w:rsid w:val="00DA2BF3"/>
    <w:rsid w:val="00DA566E"/>
    <w:rsid w:val="00DA5A74"/>
    <w:rsid w:val="00DA71EF"/>
    <w:rsid w:val="00DB59A7"/>
    <w:rsid w:val="00DC25BB"/>
    <w:rsid w:val="00DC4C33"/>
    <w:rsid w:val="00DD0227"/>
    <w:rsid w:val="00DD1F30"/>
    <w:rsid w:val="00DD205B"/>
    <w:rsid w:val="00DD261E"/>
    <w:rsid w:val="00DD4238"/>
    <w:rsid w:val="00DD4259"/>
    <w:rsid w:val="00DD4306"/>
    <w:rsid w:val="00DD4608"/>
    <w:rsid w:val="00DD5EE0"/>
    <w:rsid w:val="00DD6B02"/>
    <w:rsid w:val="00DE1B53"/>
    <w:rsid w:val="00DE2600"/>
    <w:rsid w:val="00DE2DA7"/>
    <w:rsid w:val="00DE5F38"/>
    <w:rsid w:val="00DF1A0D"/>
    <w:rsid w:val="00DF367F"/>
    <w:rsid w:val="00DF44D4"/>
    <w:rsid w:val="00DF53DE"/>
    <w:rsid w:val="00E0444A"/>
    <w:rsid w:val="00E05B73"/>
    <w:rsid w:val="00E073BC"/>
    <w:rsid w:val="00E13210"/>
    <w:rsid w:val="00E137C4"/>
    <w:rsid w:val="00E16851"/>
    <w:rsid w:val="00E17307"/>
    <w:rsid w:val="00E24559"/>
    <w:rsid w:val="00E24BE8"/>
    <w:rsid w:val="00E26A37"/>
    <w:rsid w:val="00E27468"/>
    <w:rsid w:val="00E30ABC"/>
    <w:rsid w:val="00E323DF"/>
    <w:rsid w:val="00E32A5B"/>
    <w:rsid w:val="00E3322D"/>
    <w:rsid w:val="00E401B4"/>
    <w:rsid w:val="00E40367"/>
    <w:rsid w:val="00E40EEC"/>
    <w:rsid w:val="00E41660"/>
    <w:rsid w:val="00E41CAC"/>
    <w:rsid w:val="00E429E8"/>
    <w:rsid w:val="00E56B33"/>
    <w:rsid w:val="00E608AA"/>
    <w:rsid w:val="00E64829"/>
    <w:rsid w:val="00E676DA"/>
    <w:rsid w:val="00E70C27"/>
    <w:rsid w:val="00E7228C"/>
    <w:rsid w:val="00E72516"/>
    <w:rsid w:val="00E77172"/>
    <w:rsid w:val="00E81C68"/>
    <w:rsid w:val="00E839AD"/>
    <w:rsid w:val="00E85075"/>
    <w:rsid w:val="00E8685C"/>
    <w:rsid w:val="00E87832"/>
    <w:rsid w:val="00E90598"/>
    <w:rsid w:val="00E94834"/>
    <w:rsid w:val="00E97492"/>
    <w:rsid w:val="00EA2C42"/>
    <w:rsid w:val="00EA367B"/>
    <w:rsid w:val="00EA50AC"/>
    <w:rsid w:val="00EB1BB4"/>
    <w:rsid w:val="00EB42D5"/>
    <w:rsid w:val="00EB5017"/>
    <w:rsid w:val="00EB6E24"/>
    <w:rsid w:val="00EC05F2"/>
    <w:rsid w:val="00EC2643"/>
    <w:rsid w:val="00EC2D39"/>
    <w:rsid w:val="00EC3A42"/>
    <w:rsid w:val="00EC4703"/>
    <w:rsid w:val="00EC769A"/>
    <w:rsid w:val="00ED17B4"/>
    <w:rsid w:val="00ED3896"/>
    <w:rsid w:val="00ED3AD7"/>
    <w:rsid w:val="00ED5DEC"/>
    <w:rsid w:val="00ED7CDA"/>
    <w:rsid w:val="00ED7F33"/>
    <w:rsid w:val="00EE319A"/>
    <w:rsid w:val="00EE3C61"/>
    <w:rsid w:val="00EE49A1"/>
    <w:rsid w:val="00EE6925"/>
    <w:rsid w:val="00EE7059"/>
    <w:rsid w:val="00EE7A3F"/>
    <w:rsid w:val="00EF5A7D"/>
    <w:rsid w:val="00EF7218"/>
    <w:rsid w:val="00F00F87"/>
    <w:rsid w:val="00F03B0B"/>
    <w:rsid w:val="00F041FF"/>
    <w:rsid w:val="00F1172E"/>
    <w:rsid w:val="00F1308D"/>
    <w:rsid w:val="00F133C9"/>
    <w:rsid w:val="00F162B2"/>
    <w:rsid w:val="00F22AB0"/>
    <w:rsid w:val="00F251AD"/>
    <w:rsid w:val="00F261D3"/>
    <w:rsid w:val="00F32F82"/>
    <w:rsid w:val="00F3505E"/>
    <w:rsid w:val="00F3579D"/>
    <w:rsid w:val="00F3594A"/>
    <w:rsid w:val="00F36AE0"/>
    <w:rsid w:val="00F37F4F"/>
    <w:rsid w:val="00F411EC"/>
    <w:rsid w:val="00F41440"/>
    <w:rsid w:val="00F41866"/>
    <w:rsid w:val="00F42466"/>
    <w:rsid w:val="00F42C80"/>
    <w:rsid w:val="00F43A41"/>
    <w:rsid w:val="00F442B5"/>
    <w:rsid w:val="00F44CB4"/>
    <w:rsid w:val="00F45272"/>
    <w:rsid w:val="00F53468"/>
    <w:rsid w:val="00F56E42"/>
    <w:rsid w:val="00F629A3"/>
    <w:rsid w:val="00F64E9F"/>
    <w:rsid w:val="00F703EF"/>
    <w:rsid w:val="00F724E8"/>
    <w:rsid w:val="00F729EC"/>
    <w:rsid w:val="00F763AF"/>
    <w:rsid w:val="00F77D3C"/>
    <w:rsid w:val="00F81400"/>
    <w:rsid w:val="00F87952"/>
    <w:rsid w:val="00F87AD1"/>
    <w:rsid w:val="00F915D8"/>
    <w:rsid w:val="00F91888"/>
    <w:rsid w:val="00F9206B"/>
    <w:rsid w:val="00F932FA"/>
    <w:rsid w:val="00F94A02"/>
    <w:rsid w:val="00F97327"/>
    <w:rsid w:val="00FA0065"/>
    <w:rsid w:val="00FA2770"/>
    <w:rsid w:val="00FA2A70"/>
    <w:rsid w:val="00FA5902"/>
    <w:rsid w:val="00FB12FF"/>
    <w:rsid w:val="00FB169D"/>
    <w:rsid w:val="00FB1EBE"/>
    <w:rsid w:val="00FB22F2"/>
    <w:rsid w:val="00FB3426"/>
    <w:rsid w:val="00FB599C"/>
    <w:rsid w:val="00FC5439"/>
    <w:rsid w:val="00FC55C1"/>
    <w:rsid w:val="00FC5E75"/>
    <w:rsid w:val="00FC6E0F"/>
    <w:rsid w:val="00FC705C"/>
    <w:rsid w:val="00FD09BE"/>
    <w:rsid w:val="00FD197D"/>
    <w:rsid w:val="00FD2CB6"/>
    <w:rsid w:val="00FD5AFF"/>
    <w:rsid w:val="00FD6A2E"/>
    <w:rsid w:val="00FD7834"/>
    <w:rsid w:val="00FE02E8"/>
    <w:rsid w:val="00FE0335"/>
    <w:rsid w:val="00FE1FEA"/>
    <w:rsid w:val="00FE6175"/>
    <w:rsid w:val="00FE6C33"/>
    <w:rsid w:val="00FF3142"/>
    <w:rsid w:val="00FF465B"/>
    <w:rsid w:val="00FF4F8B"/>
    <w:rsid w:val="00FF663A"/>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5:docId w15:val="{DE038680-2B58-45FB-988E-EBF6DFA6A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A1E"/>
    <w:pPr>
      <w:jc w:val="both"/>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559B5"/>
    <w:pPr>
      <w:ind w:left="720"/>
      <w:contextualSpacing/>
    </w:pPr>
  </w:style>
  <w:style w:type="paragraph" w:styleId="En-tte">
    <w:name w:val="header"/>
    <w:basedOn w:val="Normal"/>
    <w:link w:val="En-tteCar"/>
    <w:uiPriority w:val="99"/>
    <w:unhideWhenUsed/>
    <w:rsid w:val="00795C0B"/>
    <w:pPr>
      <w:tabs>
        <w:tab w:val="center" w:pos="4536"/>
        <w:tab w:val="right" w:pos="9072"/>
      </w:tabs>
    </w:pPr>
  </w:style>
  <w:style w:type="character" w:customStyle="1" w:styleId="En-tteCar">
    <w:name w:val="En-tête Car"/>
    <w:basedOn w:val="Policepardfaut"/>
    <w:link w:val="En-tte"/>
    <w:uiPriority w:val="99"/>
    <w:rsid w:val="00795C0B"/>
  </w:style>
  <w:style w:type="paragraph" w:styleId="Pieddepage">
    <w:name w:val="footer"/>
    <w:basedOn w:val="Normal"/>
    <w:link w:val="PieddepageCar"/>
    <w:uiPriority w:val="99"/>
    <w:unhideWhenUsed/>
    <w:rsid w:val="00795C0B"/>
    <w:pPr>
      <w:tabs>
        <w:tab w:val="center" w:pos="4536"/>
        <w:tab w:val="right" w:pos="9072"/>
      </w:tabs>
    </w:pPr>
  </w:style>
  <w:style w:type="character" w:customStyle="1" w:styleId="PieddepageCar">
    <w:name w:val="Pied de page Car"/>
    <w:basedOn w:val="Policepardfaut"/>
    <w:link w:val="Pieddepage"/>
    <w:uiPriority w:val="99"/>
    <w:rsid w:val="00795C0B"/>
  </w:style>
  <w:style w:type="paragraph" w:styleId="Notedebasdepage">
    <w:name w:val="footnote text"/>
    <w:basedOn w:val="Normal"/>
    <w:link w:val="NotedebasdepageCar"/>
    <w:uiPriority w:val="99"/>
    <w:unhideWhenUsed/>
    <w:rsid w:val="00F1308D"/>
    <w:rPr>
      <w:sz w:val="20"/>
      <w:szCs w:val="20"/>
    </w:rPr>
  </w:style>
  <w:style w:type="character" w:customStyle="1" w:styleId="NotedebasdepageCar">
    <w:name w:val="Note de bas de page Car"/>
    <w:link w:val="Notedebasdepage"/>
    <w:uiPriority w:val="99"/>
    <w:rsid w:val="00F1308D"/>
    <w:rPr>
      <w:sz w:val="20"/>
      <w:szCs w:val="20"/>
    </w:rPr>
  </w:style>
  <w:style w:type="character" w:styleId="Appelnotedebasdep">
    <w:name w:val="footnote reference"/>
    <w:aliases w:val="Footnote symbol,Footnote reference number,Times 10 Point,Exposant 3 Point,EN Footnote Reference,note TESI,SUPERS,Nota,Footnote number,Char1,Ref,de nota al pie,EN Footnote text,Footnote Reference_LVL6,E..."/>
    <w:uiPriority w:val="99"/>
    <w:unhideWhenUsed/>
    <w:rsid w:val="00F1308D"/>
    <w:rPr>
      <w:vertAlign w:val="superscript"/>
    </w:rPr>
  </w:style>
  <w:style w:type="character" w:styleId="Marquedecommentaire">
    <w:name w:val="annotation reference"/>
    <w:uiPriority w:val="99"/>
    <w:semiHidden/>
    <w:unhideWhenUsed/>
    <w:rsid w:val="00927970"/>
    <w:rPr>
      <w:sz w:val="16"/>
      <w:szCs w:val="16"/>
    </w:rPr>
  </w:style>
  <w:style w:type="paragraph" w:styleId="Commentaire">
    <w:name w:val="annotation text"/>
    <w:basedOn w:val="Normal"/>
    <w:link w:val="CommentaireCar"/>
    <w:uiPriority w:val="99"/>
    <w:semiHidden/>
    <w:unhideWhenUsed/>
    <w:rsid w:val="00927970"/>
    <w:rPr>
      <w:sz w:val="20"/>
      <w:szCs w:val="20"/>
    </w:rPr>
  </w:style>
  <w:style w:type="character" w:customStyle="1" w:styleId="CommentaireCar">
    <w:name w:val="Commentaire Car"/>
    <w:link w:val="Commentaire"/>
    <w:uiPriority w:val="99"/>
    <w:semiHidden/>
    <w:rsid w:val="00927970"/>
    <w:rPr>
      <w:sz w:val="20"/>
      <w:szCs w:val="20"/>
    </w:rPr>
  </w:style>
  <w:style w:type="paragraph" w:styleId="Objetducommentaire">
    <w:name w:val="annotation subject"/>
    <w:basedOn w:val="Commentaire"/>
    <w:next w:val="Commentaire"/>
    <w:link w:val="ObjetducommentaireCar"/>
    <w:uiPriority w:val="99"/>
    <w:semiHidden/>
    <w:unhideWhenUsed/>
    <w:rsid w:val="00927970"/>
    <w:rPr>
      <w:b/>
      <w:bCs/>
    </w:rPr>
  </w:style>
  <w:style w:type="character" w:customStyle="1" w:styleId="ObjetducommentaireCar">
    <w:name w:val="Objet du commentaire Car"/>
    <w:link w:val="Objetducommentaire"/>
    <w:uiPriority w:val="99"/>
    <w:semiHidden/>
    <w:rsid w:val="00927970"/>
    <w:rPr>
      <w:b/>
      <w:bCs/>
      <w:sz w:val="20"/>
      <w:szCs w:val="20"/>
    </w:rPr>
  </w:style>
  <w:style w:type="paragraph" w:styleId="Textedebulles">
    <w:name w:val="Balloon Text"/>
    <w:basedOn w:val="Normal"/>
    <w:link w:val="TextedebullesCar"/>
    <w:uiPriority w:val="99"/>
    <w:semiHidden/>
    <w:unhideWhenUsed/>
    <w:rsid w:val="00927970"/>
    <w:rPr>
      <w:rFonts w:ascii="Segoe UI" w:hAnsi="Segoe UI" w:cs="Segoe UI"/>
      <w:sz w:val="18"/>
      <w:szCs w:val="18"/>
    </w:rPr>
  </w:style>
  <w:style w:type="character" w:customStyle="1" w:styleId="TextedebullesCar">
    <w:name w:val="Texte de bulles Car"/>
    <w:link w:val="Textedebulles"/>
    <w:uiPriority w:val="99"/>
    <w:semiHidden/>
    <w:rsid w:val="00927970"/>
    <w:rPr>
      <w:rFonts w:ascii="Segoe UI" w:hAnsi="Segoe UI" w:cs="Segoe UI"/>
      <w:sz w:val="18"/>
      <w:szCs w:val="18"/>
    </w:rPr>
  </w:style>
  <w:style w:type="paragraph" w:customStyle="1" w:styleId="Default">
    <w:name w:val="Default"/>
    <w:qFormat/>
    <w:rsid w:val="00846F61"/>
    <w:pPr>
      <w:autoSpaceDE w:val="0"/>
      <w:autoSpaceDN w:val="0"/>
      <w:adjustRightInd w:val="0"/>
      <w:jc w:val="both"/>
    </w:pPr>
    <w:rPr>
      <w:rFonts w:ascii="Times New Roman" w:eastAsia="Times New Roman" w:hAnsi="Times New Roman"/>
      <w:color w:val="000000"/>
      <w:sz w:val="24"/>
      <w:szCs w:val="24"/>
    </w:rPr>
  </w:style>
  <w:style w:type="paragraph" w:styleId="NormalWeb">
    <w:name w:val="Normal (Web)"/>
    <w:basedOn w:val="Normal"/>
    <w:uiPriority w:val="99"/>
    <w:unhideWhenUsed/>
    <w:rsid w:val="00626AE7"/>
    <w:pPr>
      <w:spacing w:before="100" w:beforeAutospacing="1" w:after="100" w:afterAutospacing="1"/>
      <w:jc w:val="left"/>
    </w:pPr>
    <w:rPr>
      <w:rFonts w:ascii="Times New Roman" w:eastAsia="Yu Mincho" w:hAnsi="Times New Roman"/>
      <w:sz w:val="24"/>
      <w:szCs w:val="24"/>
      <w:lang w:eastAsia="fr-LU"/>
    </w:rPr>
  </w:style>
  <w:style w:type="character" w:customStyle="1" w:styleId="highlight">
    <w:name w:val="highlight"/>
    <w:basedOn w:val="Policepardfaut"/>
    <w:rsid w:val="00F81400"/>
  </w:style>
  <w:style w:type="paragraph" w:styleId="Rvision">
    <w:name w:val="Revision"/>
    <w:hidden/>
    <w:uiPriority w:val="99"/>
    <w:semiHidden/>
    <w:rsid w:val="00DD261E"/>
    <w:rPr>
      <w:sz w:val="22"/>
      <w:szCs w:val="22"/>
      <w:lang w:eastAsia="en-US"/>
    </w:rPr>
  </w:style>
  <w:style w:type="paragraph" w:customStyle="1" w:styleId="Pa8">
    <w:name w:val="Pa8"/>
    <w:basedOn w:val="Default"/>
    <w:next w:val="Default"/>
    <w:uiPriority w:val="99"/>
    <w:rsid w:val="00DD261E"/>
    <w:pPr>
      <w:spacing w:line="201" w:lineRule="atLeast"/>
      <w:jc w:val="left"/>
    </w:pPr>
    <w:rPr>
      <w:rFonts w:eastAsia="Calibri"/>
      <w:color w:val="auto"/>
      <w:lang w:eastAsia="en-US"/>
    </w:rPr>
  </w:style>
  <w:style w:type="paragraph" w:customStyle="1" w:styleId="Pa9">
    <w:name w:val="Pa9"/>
    <w:basedOn w:val="Default"/>
    <w:next w:val="Default"/>
    <w:uiPriority w:val="99"/>
    <w:qFormat/>
    <w:rsid w:val="00DD261E"/>
    <w:pPr>
      <w:spacing w:line="201" w:lineRule="atLeast"/>
      <w:jc w:val="left"/>
    </w:pPr>
    <w:rPr>
      <w:rFonts w:eastAsia="Calibri"/>
      <w:color w:val="auto"/>
      <w:lang w:eastAsia="en-US"/>
    </w:rPr>
  </w:style>
  <w:style w:type="character" w:customStyle="1" w:styleId="A6">
    <w:name w:val="A6"/>
    <w:uiPriority w:val="99"/>
    <w:qFormat/>
    <w:rsid w:val="00DD261E"/>
    <w:rPr>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7110">
      <w:bodyDiv w:val="1"/>
      <w:marLeft w:val="0"/>
      <w:marRight w:val="0"/>
      <w:marTop w:val="0"/>
      <w:marBottom w:val="0"/>
      <w:divBdr>
        <w:top w:val="none" w:sz="0" w:space="0" w:color="auto"/>
        <w:left w:val="none" w:sz="0" w:space="0" w:color="auto"/>
        <w:bottom w:val="none" w:sz="0" w:space="0" w:color="auto"/>
        <w:right w:val="none" w:sz="0" w:space="0" w:color="auto"/>
      </w:divBdr>
      <w:divsChild>
        <w:div w:id="1966887695">
          <w:marLeft w:val="0"/>
          <w:marRight w:val="0"/>
          <w:marTop w:val="0"/>
          <w:marBottom w:val="0"/>
          <w:divBdr>
            <w:top w:val="none" w:sz="0" w:space="0" w:color="auto"/>
            <w:left w:val="none" w:sz="0" w:space="0" w:color="auto"/>
            <w:bottom w:val="none" w:sz="0" w:space="0" w:color="auto"/>
            <w:right w:val="none" w:sz="0" w:space="0" w:color="auto"/>
          </w:divBdr>
          <w:divsChild>
            <w:div w:id="1829243040">
              <w:marLeft w:val="0"/>
              <w:marRight w:val="0"/>
              <w:marTop w:val="0"/>
              <w:marBottom w:val="0"/>
              <w:divBdr>
                <w:top w:val="none" w:sz="0" w:space="0" w:color="auto"/>
                <w:left w:val="none" w:sz="0" w:space="0" w:color="auto"/>
                <w:bottom w:val="none" w:sz="0" w:space="0" w:color="auto"/>
                <w:right w:val="none" w:sz="0" w:space="0" w:color="auto"/>
              </w:divBdr>
              <w:divsChild>
                <w:div w:id="140059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028444">
      <w:bodyDiv w:val="1"/>
      <w:marLeft w:val="0"/>
      <w:marRight w:val="0"/>
      <w:marTop w:val="0"/>
      <w:marBottom w:val="0"/>
      <w:divBdr>
        <w:top w:val="none" w:sz="0" w:space="0" w:color="auto"/>
        <w:left w:val="none" w:sz="0" w:space="0" w:color="auto"/>
        <w:bottom w:val="none" w:sz="0" w:space="0" w:color="auto"/>
        <w:right w:val="none" w:sz="0" w:space="0" w:color="auto"/>
      </w:divBdr>
    </w:div>
    <w:div w:id="622466610">
      <w:bodyDiv w:val="1"/>
      <w:marLeft w:val="0"/>
      <w:marRight w:val="0"/>
      <w:marTop w:val="0"/>
      <w:marBottom w:val="0"/>
      <w:divBdr>
        <w:top w:val="none" w:sz="0" w:space="0" w:color="auto"/>
        <w:left w:val="none" w:sz="0" w:space="0" w:color="auto"/>
        <w:bottom w:val="none" w:sz="0" w:space="0" w:color="auto"/>
        <w:right w:val="none" w:sz="0" w:space="0" w:color="auto"/>
      </w:divBdr>
      <w:divsChild>
        <w:div w:id="1992975438">
          <w:marLeft w:val="0"/>
          <w:marRight w:val="0"/>
          <w:marTop w:val="0"/>
          <w:marBottom w:val="0"/>
          <w:divBdr>
            <w:top w:val="none" w:sz="0" w:space="0" w:color="auto"/>
            <w:left w:val="none" w:sz="0" w:space="0" w:color="auto"/>
            <w:bottom w:val="none" w:sz="0" w:space="0" w:color="auto"/>
            <w:right w:val="none" w:sz="0" w:space="0" w:color="auto"/>
          </w:divBdr>
          <w:divsChild>
            <w:div w:id="2091803938">
              <w:marLeft w:val="0"/>
              <w:marRight w:val="0"/>
              <w:marTop w:val="0"/>
              <w:marBottom w:val="0"/>
              <w:divBdr>
                <w:top w:val="none" w:sz="0" w:space="0" w:color="auto"/>
                <w:left w:val="none" w:sz="0" w:space="0" w:color="auto"/>
                <w:bottom w:val="none" w:sz="0" w:space="0" w:color="auto"/>
                <w:right w:val="none" w:sz="0" w:space="0" w:color="auto"/>
              </w:divBdr>
              <w:divsChild>
                <w:div w:id="1484271849">
                  <w:marLeft w:val="0"/>
                  <w:marRight w:val="0"/>
                  <w:marTop w:val="0"/>
                  <w:marBottom w:val="0"/>
                  <w:divBdr>
                    <w:top w:val="none" w:sz="0" w:space="0" w:color="auto"/>
                    <w:left w:val="none" w:sz="0" w:space="0" w:color="auto"/>
                    <w:bottom w:val="none" w:sz="0" w:space="0" w:color="auto"/>
                    <w:right w:val="none" w:sz="0" w:space="0" w:color="auto"/>
                  </w:divBdr>
                  <w:divsChild>
                    <w:div w:id="177755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333178">
      <w:bodyDiv w:val="1"/>
      <w:marLeft w:val="0"/>
      <w:marRight w:val="0"/>
      <w:marTop w:val="0"/>
      <w:marBottom w:val="0"/>
      <w:divBdr>
        <w:top w:val="none" w:sz="0" w:space="0" w:color="auto"/>
        <w:left w:val="none" w:sz="0" w:space="0" w:color="auto"/>
        <w:bottom w:val="none" w:sz="0" w:space="0" w:color="auto"/>
        <w:right w:val="none" w:sz="0" w:space="0" w:color="auto"/>
      </w:divBdr>
    </w:div>
    <w:div w:id="1232160997">
      <w:bodyDiv w:val="1"/>
      <w:marLeft w:val="0"/>
      <w:marRight w:val="0"/>
      <w:marTop w:val="0"/>
      <w:marBottom w:val="0"/>
      <w:divBdr>
        <w:top w:val="none" w:sz="0" w:space="0" w:color="auto"/>
        <w:left w:val="none" w:sz="0" w:space="0" w:color="auto"/>
        <w:bottom w:val="none" w:sz="0" w:space="0" w:color="auto"/>
        <w:right w:val="none" w:sz="0" w:space="0" w:color="auto"/>
      </w:divBdr>
      <w:divsChild>
        <w:div w:id="1153329651">
          <w:marLeft w:val="0"/>
          <w:marRight w:val="0"/>
          <w:marTop w:val="0"/>
          <w:marBottom w:val="0"/>
          <w:divBdr>
            <w:top w:val="none" w:sz="0" w:space="0" w:color="auto"/>
            <w:left w:val="none" w:sz="0" w:space="0" w:color="auto"/>
            <w:bottom w:val="none" w:sz="0" w:space="0" w:color="auto"/>
            <w:right w:val="none" w:sz="0" w:space="0" w:color="auto"/>
          </w:divBdr>
          <w:divsChild>
            <w:div w:id="1956060537">
              <w:marLeft w:val="0"/>
              <w:marRight w:val="0"/>
              <w:marTop w:val="0"/>
              <w:marBottom w:val="0"/>
              <w:divBdr>
                <w:top w:val="none" w:sz="0" w:space="0" w:color="auto"/>
                <w:left w:val="none" w:sz="0" w:space="0" w:color="auto"/>
                <w:bottom w:val="none" w:sz="0" w:space="0" w:color="auto"/>
                <w:right w:val="none" w:sz="0" w:space="0" w:color="auto"/>
              </w:divBdr>
              <w:divsChild>
                <w:div w:id="203681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80904">
      <w:bodyDiv w:val="1"/>
      <w:marLeft w:val="0"/>
      <w:marRight w:val="0"/>
      <w:marTop w:val="0"/>
      <w:marBottom w:val="0"/>
      <w:divBdr>
        <w:top w:val="none" w:sz="0" w:space="0" w:color="auto"/>
        <w:left w:val="none" w:sz="0" w:space="0" w:color="auto"/>
        <w:bottom w:val="none" w:sz="0" w:space="0" w:color="auto"/>
        <w:right w:val="none" w:sz="0" w:space="0" w:color="auto"/>
      </w:divBdr>
    </w:div>
    <w:div w:id="1681274569">
      <w:bodyDiv w:val="1"/>
      <w:marLeft w:val="0"/>
      <w:marRight w:val="0"/>
      <w:marTop w:val="0"/>
      <w:marBottom w:val="0"/>
      <w:divBdr>
        <w:top w:val="none" w:sz="0" w:space="0" w:color="auto"/>
        <w:left w:val="none" w:sz="0" w:space="0" w:color="auto"/>
        <w:bottom w:val="none" w:sz="0" w:space="0" w:color="auto"/>
        <w:right w:val="none" w:sz="0" w:space="0" w:color="auto"/>
      </w:divBdr>
    </w:div>
    <w:div w:id="1812213051">
      <w:bodyDiv w:val="1"/>
      <w:marLeft w:val="0"/>
      <w:marRight w:val="0"/>
      <w:marTop w:val="0"/>
      <w:marBottom w:val="0"/>
      <w:divBdr>
        <w:top w:val="none" w:sz="0" w:space="0" w:color="auto"/>
        <w:left w:val="none" w:sz="0" w:space="0" w:color="auto"/>
        <w:bottom w:val="none" w:sz="0" w:space="0" w:color="auto"/>
        <w:right w:val="none" w:sz="0" w:space="0" w:color="auto"/>
      </w:divBdr>
      <w:divsChild>
        <w:div w:id="853769988">
          <w:marLeft w:val="0"/>
          <w:marRight w:val="0"/>
          <w:marTop w:val="0"/>
          <w:marBottom w:val="0"/>
          <w:divBdr>
            <w:top w:val="none" w:sz="0" w:space="0" w:color="auto"/>
            <w:left w:val="none" w:sz="0" w:space="0" w:color="auto"/>
            <w:bottom w:val="none" w:sz="0" w:space="0" w:color="auto"/>
            <w:right w:val="none" w:sz="0" w:space="0" w:color="auto"/>
          </w:divBdr>
          <w:divsChild>
            <w:div w:id="2006663134">
              <w:marLeft w:val="0"/>
              <w:marRight w:val="0"/>
              <w:marTop w:val="0"/>
              <w:marBottom w:val="0"/>
              <w:divBdr>
                <w:top w:val="none" w:sz="0" w:space="0" w:color="auto"/>
                <w:left w:val="none" w:sz="0" w:space="0" w:color="auto"/>
                <w:bottom w:val="none" w:sz="0" w:space="0" w:color="auto"/>
                <w:right w:val="none" w:sz="0" w:space="0" w:color="auto"/>
              </w:divBdr>
              <w:divsChild>
                <w:div w:id="153924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4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DP7760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7760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/sftpecos/Dossiers_parlementaires/7760/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D6B425FF-6A09-45B9-83D6-EBCB3838CDFE}">
  <ds:schemaRefs>
    <ds:schemaRef ds:uri="http://schemas.openxmlformats.org/officeDocument/2006/bibliography"/>
  </ds:schemaRefs>
</ds:datastoreItem>
</file>

<file path=customXml/itemProps2.xml><?xml version="1.0" encoding="utf-8"?>
<ds:datastoreItem xmlns:ds="http://schemas.openxmlformats.org/officeDocument/2006/customXml" ds:itemID="{ECB54601-CCEC-4916-A220-D2F8E5F7E14E}"/>
</file>

<file path=customXml/itemProps3.xml><?xml version="1.0" encoding="utf-8"?>
<ds:datastoreItem xmlns:ds="http://schemas.openxmlformats.org/officeDocument/2006/customXml" ds:itemID="{D2A7A0CB-4571-4B6B-9519-DE81063AB99C}"/>
</file>

<file path=customXml/itemProps4.xml><?xml version="1.0" encoding="utf-8"?>
<ds:datastoreItem xmlns:ds="http://schemas.openxmlformats.org/officeDocument/2006/customXml" ds:itemID="{8EA0CC9E-8B90-4CB9-BC91-103151524E48}"/>
</file>

<file path=docProps/app.xml><?xml version="1.0" encoding="utf-8"?>
<Properties xmlns="http://schemas.openxmlformats.org/officeDocument/2006/extended-properties" xmlns:vt="http://schemas.openxmlformats.org/officeDocument/2006/docPropsVTypes">
  <Template>Normal</Template>
  <TotalTime>0</TotalTime>
  <Pages>3</Pages>
  <Words>2737</Words>
  <Characters>15058</Characters>
  <Application>Microsoft Office Word</Application>
  <DocSecurity>4</DocSecurity>
  <Lines>125</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Christophe Li</dc:creator>
  <cp:keywords/>
  <cp:lastModifiedBy>SYSTEM</cp:lastModifiedBy>
  <cp:revision>2</cp:revision>
  <cp:lastPrinted>2021-03-10T13:30:00Z</cp:lastPrinted>
  <dcterms:created xsi:type="dcterms:W3CDTF">2024-02-21T07:57:00Z</dcterms:created>
  <dcterms:modified xsi:type="dcterms:W3CDTF">2024-02-21T07:57:00Z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