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4B5" w:rsidRPr="00B74D07" w:rsidRDefault="00E14DA9" w:rsidP="008A63BD">
      <w:pPr>
        <w:spacing w:after="0" w:line="240" w:lineRule="auto"/>
        <w:jc w:val="both"/>
        <w:rPr>
          <w:rFonts w:ascii="Arial" w:hAnsi="Arial" w:cs="Arial"/>
          <w:b/>
          <w:bCs/>
          <w:color w:val="000000"/>
        </w:rPr>
      </w:pPr>
      <w:bookmarkStart w:id="0" w:name="_GoBack"/>
      <w:bookmarkEnd w:id="0"/>
      <w:r w:rsidRPr="00B74D07">
        <w:rPr>
          <w:rFonts w:ascii="Arial" w:hAnsi="Arial" w:cs="Arial"/>
          <w:b/>
          <w:bCs/>
          <w:lang w:val="fr-FR"/>
        </w:rPr>
        <w:t xml:space="preserve">Projet de loi </w:t>
      </w:r>
      <w:r w:rsidR="008A63BD" w:rsidRPr="00B74D07">
        <w:rPr>
          <w:rFonts w:ascii="Arial" w:hAnsi="Arial" w:cs="Arial"/>
          <w:b/>
          <w:lang w:val="fr-FR"/>
        </w:rPr>
        <w:t>portant organisation des contrôles du transport de l'argent liquide entrant au ou sortant du Grand-Duché de Luxembourg et mise en œuvre du règlement (UE) 2018/1672 du Parlement européen et du Conseil du 23 octobre 2018 relatif aux contrôles de l’argent liquide entrant dans l’Union ou sortant de l’Union et abrogeant le règlement (CE) n° 1889/2005</w:t>
      </w:r>
    </w:p>
    <w:p w:rsidR="000F509A" w:rsidRDefault="000F509A" w:rsidP="000F509A">
      <w:pPr>
        <w:spacing w:after="0" w:line="240" w:lineRule="auto"/>
        <w:jc w:val="both"/>
        <w:rPr>
          <w:rFonts w:ascii="Arial" w:eastAsia="Times New Roman" w:hAnsi="Arial" w:cs="Arial"/>
          <w:lang w:eastAsia="en-GB"/>
        </w:rPr>
      </w:pPr>
    </w:p>
    <w:p w:rsidR="000F509A" w:rsidRPr="000F509A" w:rsidRDefault="000F509A" w:rsidP="000F509A">
      <w:pPr>
        <w:spacing w:after="0" w:line="240" w:lineRule="auto"/>
        <w:jc w:val="both"/>
        <w:rPr>
          <w:rFonts w:ascii="Arial" w:eastAsia="Times New Roman" w:hAnsi="Arial" w:cs="Arial"/>
          <w:lang w:eastAsia="en-GB"/>
        </w:rPr>
      </w:pPr>
      <w:r w:rsidRPr="000F509A">
        <w:rPr>
          <w:rFonts w:ascii="Arial" w:eastAsia="Times New Roman" w:hAnsi="Arial" w:cs="Arial"/>
          <w:lang w:eastAsia="en-GB"/>
        </w:rPr>
        <w:t xml:space="preserve">Le </w:t>
      </w:r>
      <w:r w:rsidRPr="000F509A">
        <w:rPr>
          <w:rFonts w:ascii="Arial" w:eastAsia="Times New Roman" w:hAnsi="Arial" w:cs="Arial"/>
          <w:lang w:val="fr-CH" w:eastAsia="en-GB"/>
        </w:rPr>
        <w:t xml:space="preserve">présent </w:t>
      </w:r>
      <w:r w:rsidRPr="000F509A">
        <w:rPr>
          <w:rFonts w:ascii="Arial" w:eastAsia="Times New Roman" w:hAnsi="Arial" w:cs="Arial"/>
          <w:lang w:eastAsia="en-GB"/>
        </w:rPr>
        <w:t xml:space="preserve">projet de loi a pour objet de mettre en application en droit luxembourgeois certaines dispositions du règlement (UE) 2018/1672 du Parlement européen et du Conseil du 23 octobre 2018 relatif aux contrôles de l’argent liquide entrant dans l’Union ou sortant de l’Union et abrogeant le règlement (CE) n°1889/2005 (Règlement (UE) 2018/1672 »). </w:t>
      </w:r>
    </w:p>
    <w:p w:rsidR="000F509A" w:rsidRDefault="000F509A" w:rsidP="000F509A">
      <w:pPr>
        <w:spacing w:after="0" w:line="240" w:lineRule="auto"/>
        <w:jc w:val="both"/>
        <w:rPr>
          <w:rFonts w:ascii="Arial" w:eastAsia="Times New Roman" w:hAnsi="Arial" w:cs="Arial"/>
          <w:lang w:eastAsia="en-GB"/>
        </w:rPr>
      </w:pPr>
    </w:p>
    <w:p w:rsidR="000F509A" w:rsidRPr="000F509A" w:rsidRDefault="00450CB4" w:rsidP="000F509A">
      <w:pPr>
        <w:spacing w:after="0" w:line="240" w:lineRule="auto"/>
        <w:jc w:val="both"/>
        <w:rPr>
          <w:rFonts w:ascii="Arial" w:eastAsia="Times New Roman" w:hAnsi="Arial" w:cs="Arial"/>
          <w:lang w:eastAsia="en-GB"/>
        </w:rPr>
      </w:pPr>
      <w:r>
        <w:rPr>
          <w:rFonts w:ascii="Arial" w:eastAsia="Times New Roman" w:hAnsi="Arial" w:cs="Arial"/>
          <w:lang w:val="fr-FR" w:eastAsia="en-GB"/>
        </w:rPr>
        <w:t>L</w:t>
      </w:r>
      <w:r w:rsidR="000F509A" w:rsidRPr="000F509A">
        <w:rPr>
          <w:rFonts w:ascii="Arial" w:eastAsia="Times New Roman" w:hAnsi="Arial" w:cs="Arial"/>
          <w:lang w:eastAsia="en-GB"/>
        </w:rPr>
        <w:t xml:space="preserve">e </w:t>
      </w:r>
      <w:r>
        <w:rPr>
          <w:rFonts w:ascii="Arial" w:eastAsia="Times New Roman" w:hAnsi="Arial" w:cs="Arial"/>
          <w:lang w:val="fr-FR" w:eastAsia="en-GB"/>
        </w:rPr>
        <w:t>r</w:t>
      </w:r>
      <w:r w:rsidR="000F509A" w:rsidRPr="000F509A">
        <w:rPr>
          <w:rFonts w:ascii="Arial" w:eastAsia="Times New Roman" w:hAnsi="Arial" w:cs="Arial"/>
          <w:lang w:eastAsia="en-GB"/>
        </w:rPr>
        <w:t>èglement (UE) 2018/1672 prévoit un système de contrôle de l’argent liquide entrant dans l’Union européenne ou sortant de l’Union européenne destiné à compléter le cadre juridique</w:t>
      </w:r>
      <w:r w:rsidR="000F509A" w:rsidRPr="000F509A">
        <w:rPr>
          <w:rFonts w:ascii="Arial" w:eastAsia="Times New Roman" w:hAnsi="Arial" w:cs="Arial"/>
          <w:lang w:val="fr-CH" w:eastAsia="en-GB"/>
        </w:rPr>
        <w:t xml:space="preserve"> </w:t>
      </w:r>
      <w:r w:rsidR="000F509A" w:rsidRPr="000F509A">
        <w:rPr>
          <w:rFonts w:ascii="Arial" w:eastAsia="Times New Roman" w:hAnsi="Arial" w:cs="Arial"/>
          <w:lang w:eastAsia="en-GB"/>
        </w:rPr>
        <w:t>régissant la prévention du blanchiment de capitaux et du financement du terrorisme fixé dans la directive (UE) 2015/849</w:t>
      </w:r>
      <w:r>
        <w:rPr>
          <w:rFonts w:ascii="Arial" w:eastAsia="Times New Roman" w:hAnsi="Arial" w:cs="Arial"/>
          <w:lang w:val="fr-FR" w:eastAsia="en-GB"/>
        </w:rPr>
        <w:t xml:space="preserve"> (…)</w:t>
      </w:r>
      <w:r w:rsidR="000F509A" w:rsidRPr="000F509A">
        <w:rPr>
          <w:rFonts w:ascii="Arial" w:eastAsia="Times New Roman" w:hAnsi="Arial" w:cs="Arial"/>
          <w:lang w:eastAsia="en-GB"/>
        </w:rPr>
        <w:t xml:space="preserve">. </w:t>
      </w:r>
    </w:p>
    <w:p w:rsidR="000F509A" w:rsidRDefault="000F509A" w:rsidP="000F509A">
      <w:pPr>
        <w:spacing w:after="0" w:line="240" w:lineRule="auto"/>
        <w:jc w:val="both"/>
        <w:rPr>
          <w:rFonts w:ascii="Arial" w:eastAsia="Times New Roman" w:hAnsi="Arial" w:cs="Arial"/>
          <w:lang w:eastAsia="en-GB"/>
        </w:rPr>
      </w:pPr>
    </w:p>
    <w:p w:rsidR="000F509A" w:rsidRPr="000F509A" w:rsidRDefault="00450CB4" w:rsidP="000F509A">
      <w:pPr>
        <w:spacing w:after="0" w:line="240" w:lineRule="auto"/>
        <w:jc w:val="both"/>
        <w:rPr>
          <w:rFonts w:ascii="Arial" w:eastAsia="Times New Roman" w:hAnsi="Arial" w:cs="Arial"/>
          <w:lang w:eastAsia="en-GB"/>
        </w:rPr>
      </w:pPr>
      <w:r>
        <w:rPr>
          <w:rFonts w:ascii="Arial" w:eastAsia="Times New Roman" w:hAnsi="Arial" w:cs="Arial"/>
          <w:lang w:val="fr-FR" w:eastAsia="en-GB"/>
        </w:rPr>
        <w:t>Le</w:t>
      </w:r>
      <w:r w:rsidR="000F509A" w:rsidRPr="000F509A">
        <w:rPr>
          <w:rFonts w:ascii="Arial" w:eastAsia="Times New Roman" w:hAnsi="Arial" w:cs="Arial"/>
          <w:lang w:eastAsia="en-GB"/>
        </w:rPr>
        <w:t xml:space="preserve"> projet de loi désigne </w:t>
      </w:r>
      <w:r w:rsidR="000F509A" w:rsidRPr="00450CB4">
        <w:rPr>
          <w:rFonts w:ascii="Arial" w:eastAsia="Times New Roman" w:hAnsi="Arial" w:cs="Arial"/>
          <w:u w:val="single"/>
          <w:lang w:eastAsia="en-GB"/>
        </w:rPr>
        <w:t>l’Administration des douanes et accises comme l’autorité compétente</w:t>
      </w:r>
      <w:r w:rsidR="000F509A" w:rsidRPr="000F509A">
        <w:rPr>
          <w:rFonts w:ascii="Arial" w:eastAsia="Times New Roman" w:hAnsi="Arial" w:cs="Arial"/>
          <w:lang w:eastAsia="en-GB"/>
        </w:rPr>
        <w:t xml:space="preserve"> concernant le contrôle du transport physique de l’argent liquide entrant au</w:t>
      </w:r>
      <w:r w:rsidR="000F509A" w:rsidRPr="000F509A">
        <w:rPr>
          <w:rFonts w:ascii="Arial" w:eastAsia="Times New Roman" w:hAnsi="Arial" w:cs="Arial"/>
          <w:lang w:val="fr-CH" w:eastAsia="en-GB"/>
        </w:rPr>
        <w:t xml:space="preserve"> </w:t>
      </w:r>
      <w:r w:rsidR="000F509A" w:rsidRPr="000F509A">
        <w:rPr>
          <w:rFonts w:ascii="Arial" w:eastAsia="Times New Roman" w:hAnsi="Arial" w:cs="Arial"/>
          <w:lang w:eastAsia="en-GB"/>
        </w:rPr>
        <w:t>ou sortant du Grand-</w:t>
      </w:r>
      <w:r w:rsidR="000F509A">
        <w:rPr>
          <w:rFonts w:ascii="Arial" w:eastAsia="Times New Roman" w:hAnsi="Arial" w:cs="Arial"/>
          <w:lang w:val="fr-FR" w:eastAsia="en-GB"/>
        </w:rPr>
        <w:t>D</w:t>
      </w:r>
      <w:r w:rsidR="000F509A" w:rsidRPr="000F509A">
        <w:rPr>
          <w:rFonts w:ascii="Arial" w:eastAsia="Times New Roman" w:hAnsi="Arial" w:cs="Arial"/>
          <w:lang w:eastAsia="en-GB"/>
        </w:rPr>
        <w:t xml:space="preserve">uché de </w:t>
      </w:r>
      <w:r w:rsidR="000F509A">
        <w:rPr>
          <w:rFonts w:ascii="Arial" w:eastAsia="Times New Roman" w:hAnsi="Arial" w:cs="Arial"/>
          <w:lang w:eastAsia="en-GB"/>
        </w:rPr>
        <w:t>Luxembourg</w:t>
      </w:r>
      <w:r w:rsidR="000F509A">
        <w:rPr>
          <w:rFonts w:ascii="Arial" w:eastAsia="Times New Roman" w:hAnsi="Arial" w:cs="Arial"/>
          <w:lang w:val="fr-FR" w:eastAsia="en-GB"/>
        </w:rPr>
        <w:t>,</w:t>
      </w:r>
      <w:r w:rsidR="000F509A" w:rsidRPr="000F509A">
        <w:rPr>
          <w:rFonts w:ascii="Arial" w:eastAsia="Times New Roman" w:hAnsi="Arial" w:cs="Arial"/>
          <w:lang w:eastAsia="en-GB"/>
        </w:rPr>
        <w:t xml:space="preserve"> ainsi que le contrôle de l’argent liquide entrant ou sortant de l’Union européenne. </w:t>
      </w:r>
    </w:p>
    <w:p w:rsidR="000F509A" w:rsidRDefault="000F509A" w:rsidP="000F509A">
      <w:pPr>
        <w:spacing w:after="0" w:line="240" w:lineRule="auto"/>
        <w:jc w:val="both"/>
        <w:rPr>
          <w:rFonts w:ascii="Arial" w:eastAsia="Times New Roman" w:hAnsi="Arial" w:cs="Arial"/>
          <w:lang w:eastAsia="en-GB"/>
        </w:rPr>
      </w:pPr>
    </w:p>
    <w:p w:rsidR="000F509A" w:rsidRPr="000F509A" w:rsidRDefault="00450CB4" w:rsidP="000F509A">
      <w:pPr>
        <w:spacing w:after="0" w:line="240" w:lineRule="auto"/>
        <w:jc w:val="both"/>
        <w:rPr>
          <w:rFonts w:ascii="Arial" w:eastAsia="Times New Roman" w:hAnsi="Arial" w:cs="Arial"/>
          <w:lang w:eastAsia="en-GB"/>
        </w:rPr>
      </w:pPr>
      <w:r>
        <w:rPr>
          <w:rFonts w:ascii="Arial" w:eastAsia="Times New Roman" w:hAnsi="Arial" w:cs="Arial"/>
          <w:lang w:val="fr-CH" w:eastAsia="en-GB"/>
        </w:rPr>
        <w:t xml:space="preserve">Il est prévu </w:t>
      </w:r>
      <w:r w:rsidR="000F509A" w:rsidRPr="000F509A">
        <w:rPr>
          <w:rFonts w:ascii="Arial" w:eastAsia="Times New Roman" w:hAnsi="Arial" w:cs="Arial"/>
          <w:lang w:val="fr-CH" w:eastAsia="en-GB"/>
        </w:rPr>
        <w:t>que le</w:t>
      </w:r>
      <w:r w:rsidR="000F509A" w:rsidRPr="000F509A">
        <w:rPr>
          <w:rFonts w:ascii="Arial" w:eastAsia="Times New Roman" w:hAnsi="Arial" w:cs="Arial"/>
          <w:lang w:eastAsia="en-GB"/>
        </w:rPr>
        <w:t xml:space="preserve"> porteur transportant </w:t>
      </w:r>
      <w:r w:rsidR="000F509A" w:rsidRPr="00450CB4">
        <w:rPr>
          <w:rFonts w:ascii="Arial" w:eastAsia="Times New Roman" w:hAnsi="Arial" w:cs="Arial"/>
          <w:u w:val="single"/>
          <w:lang w:eastAsia="en-GB"/>
        </w:rPr>
        <w:t>l’argent liquide d’une valeur égale ou supérieure à 10.000 euros</w:t>
      </w:r>
      <w:r w:rsidR="000F509A" w:rsidRPr="000F509A">
        <w:rPr>
          <w:rFonts w:ascii="Arial" w:eastAsia="Times New Roman" w:hAnsi="Arial" w:cs="Arial"/>
          <w:lang w:eastAsia="en-GB"/>
        </w:rPr>
        <w:t>, sous toute forme et par tout moyen, vers le ou à partir du Grand-</w:t>
      </w:r>
      <w:r w:rsidR="000F509A">
        <w:rPr>
          <w:rFonts w:ascii="Arial" w:eastAsia="Times New Roman" w:hAnsi="Arial" w:cs="Arial"/>
          <w:lang w:val="fr-FR" w:eastAsia="en-GB"/>
        </w:rPr>
        <w:t>D</w:t>
      </w:r>
      <w:r w:rsidR="000F509A" w:rsidRPr="000F509A">
        <w:rPr>
          <w:rFonts w:ascii="Arial" w:eastAsia="Times New Roman" w:hAnsi="Arial" w:cs="Arial"/>
          <w:lang w:eastAsia="en-GB"/>
        </w:rPr>
        <w:t>uché de Luxembourg, ou entrant ou sortant de l’Union européenne par le Grand-</w:t>
      </w:r>
      <w:r w:rsidR="000F509A">
        <w:rPr>
          <w:rFonts w:ascii="Arial" w:eastAsia="Times New Roman" w:hAnsi="Arial" w:cs="Arial"/>
          <w:lang w:val="fr-FR" w:eastAsia="en-GB"/>
        </w:rPr>
        <w:t>D</w:t>
      </w:r>
      <w:r w:rsidR="000F509A" w:rsidRPr="000F509A">
        <w:rPr>
          <w:rFonts w:ascii="Arial" w:eastAsia="Times New Roman" w:hAnsi="Arial" w:cs="Arial"/>
          <w:lang w:eastAsia="en-GB"/>
        </w:rPr>
        <w:t xml:space="preserve">uché de </w:t>
      </w:r>
      <w:r w:rsidR="000F509A">
        <w:rPr>
          <w:rFonts w:ascii="Arial" w:eastAsia="Times New Roman" w:hAnsi="Arial" w:cs="Arial"/>
          <w:lang w:eastAsia="en-GB"/>
        </w:rPr>
        <w:t>Luxembourg</w:t>
      </w:r>
      <w:r w:rsidR="000F509A">
        <w:rPr>
          <w:rFonts w:ascii="Arial" w:eastAsia="Times New Roman" w:hAnsi="Arial" w:cs="Arial"/>
          <w:lang w:val="fr-FR" w:eastAsia="en-GB"/>
        </w:rPr>
        <w:t>,</w:t>
      </w:r>
      <w:r w:rsidR="000F509A" w:rsidRPr="000F509A">
        <w:rPr>
          <w:rFonts w:ascii="Arial" w:eastAsia="Times New Roman" w:hAnsi="Arial" w:cs="Arial"/>
          <w:lang w:eastAsia="en-GB"/>
        </w:rPr>
        <w:t xml:space="preserve"> </w:t>
      </w:r>
      <w:r w:rsidR="000F509A" w:rsidRPr="000F509A">
        <w:rPr>
          <w:rFonts w:ascii="Arial" w:eastAsia="Times New Roman" w:hAnsi="Arial" w:cs="Arial"/>
          <w:lang w:val="fr-CH" w:eastAsia="en-GB"/>
        </w:rPr>
        <w:t>doit</w:t>
      </w:r>
      <w:r w:rsidR="000F509A" w:rsidRPr="000F509A">
        <w:rPr>
          <w:rFonts w:ascii="Arial" w:eastAsia="Times New Roman" w:hAnsi="Arial" w:cs="Arial"/>
          <w:lang w:eastAsia="en-GB"/>
        </w:rPr>
        <w:t xml:space="preserve"> déposer une </w:t>
      </w:r>
      <w:r w:rsidR="000F509A" w:rsidRPr="00450CB4">
        <w:rPr>
          <w:rFonts w:ascii="Arial" w:eastAsia="Times New Roman" w:hAnsi="Arial" w:cs="Arial"/>
          <w:u w:val="single"/>
          <w:lang w:eastAsia="en-GB"/>
        </w:rPr>
        <w:t>déclaration d’argent liquide accompagné</w:t>
      </w:r>
      <w:r w:rsidR="000F509A" w:rsidRPr="000F509A">
        <w:rPr>
          <w:rFonts w:ascii="Arial" w:eastAsia="Times New Roman" w:hAnsi="Arial" w:cs="Arial"/>
          <w:lang w:eastAsia="en-GB"/>
        </w:rPr>
        <w:t xml:space="preserve"> à l’Administration des douanes et accises</w:t>
      </w:r>
      <w:r w:rsidR="000F509A" w:rsidRPr="000F509A">
        <w:rPr>
          <w:rFonts w:ascii="Arial" w:eastAsia="Times New Roman" w:hAnsi="Arial" w:cs="Arial"/>
          <w:lang w:val="fr-CH" w:eastAsia="en-GB"/>
        </w:rPr>
        <w:t>. A noter que le champ d’application de l’obligation de déclaration est étendu aux</w:t>
      </w:r>
      <w:r w:rsidR="000F509A" w:rsidRPr="000F509A">
        <w:rPr>
          <w:rFonts w:ascii="Arial" w:eastAsia="Times New Roman" w:hAnsi="Arial" w:cs="Arial"/>
          <w:lang w:eastAsia="en-GB"/>
        </w:rPr>
        <w:t xml:space="preserve"> cartes prépayées non liées à un compte en banque et les marchandises servant de réserve de valeur, tels les métaux précieux</w:t>
      </w:r>
      <w:r w:rsidR="000F509A" w:rsidRPr="000F509A">
        <w:rPr>
          <w:rFonts w:ascii="Arial" w:eastAsia="Times New Roman" w:hAnsi="Arial" w:cs="Arial"/>
          <w:lang w:val="fr-CH" w:eastAsia="en-GB"/>
        </w:rPr>
        <w:t>.</w:t>
      </w:r>
    </w:p>
    <w:p w:rsidR="000F509A" w:rsidRDefault="000F509A" w:rsidP="000F509A">
      <w:pPr>
        <w:spacing w:after="0" w:line="240" w:lineRule="auto"/>
        <w:jc w:val="both"/>
        <w:rPr>
          <w:rFonts w:ascii="Arial" w:eastAsia="Times New Roman" w:hAnsi="Arial" w:cs="Arial"/>
          <w:lang w:val="fr-CH" w:eastAsia="en-GB"/>
        </w:rPr>
      </w:pPr>
    </w:p>
    <w:p w:rsidR="000F509A" w:rsidRPr="000F509A" w:rsidRDefault="000F509A" w:rsidP="000F509A">
      <w:pPr>
        <w:spacing w:after="0" w:line="240" w:lineRule="auto"/>
        <w:jc w:val="both"/>
        <w:rPr>
          <w:rFonts w:ascii="Arial" w:eastAsia="Times New Roman" w:hAnsi="Arial" w:cs="Arial"/>
          <w:lang w:eastAsia="en-GB"/>
        </w:rPr>
      </w:pPr>
      <w:r w:rsidRPr="000F509A">
        <w:rPr>
          <w:rFonts w:ascii="Arial" w:eastAsia="Times New Roman" w:hAnsi="Arial" w:cs="Arial"/>
          <w:lang w:val="fr-CH" w:eastAsia="en-GB"/>
        </w:rPr>
        <w:t xml:space="preserve">De </w:t>
      </w:r>
      <w:r w:rsidR="00450CB4">
        <w:rPr>
          <w:rFonts w:ascii="Arial" w:eastAsia="Times New Roman" w:hAnsi="Arial" w:cs="Arial"/>
          <w:lang w:val="fr-CH" w:eastAsia="en-GB"/>
        </w:rPr>
        <w:t>plus</w:t>
      </w:r>
      <w:r w:rsidRPr="000F509A">
        <w:rPr>
          <w:rFonts w:ascii="Arial" w:eastAsia="Times New Roman" w:hAnsi="Arial" w:cs="Arial"/>
          <w:lang w:val="fr-CH" w:eastAsia="en-GB"/>
        </w:rPr>
        <w:t xml:space="preserve">, le projet de loi impose </w:t>
      </w:r>
      <w:r w:rsidRPr="000F509A">
        <w:rPr>
          <w:rFonts w:ascii="Arial" w:eastAsia="Times New Roman" w:hAnsi="Arial" w:cs="Arial"/>
          <w:lang w:eastAsia="en-GB"/>
        </w:rPr>
        <w:t xml:space="preserve">à l’expéditeur ou au destinataire de l’argent liquide ou à leur représentant, selon le cas, l’obligation de déposer une </w:t>
      </w:r>
      <w:r w:rsidRPr="00450CB4">
        <w:rPr>
          <w:rFonts w:ascii="Arial" w:eastAsia="Times New Roman" w:hAnsi="Arial" w:cs="Arial"/>
          <w:u w:val="single"/>
          <w:lang w:eastAsia="en-GB"/>
        </w:rPr>
        <w:t>déclaration de divulgation d’argent liquide non accompagné</w:t>
      </w:r>
      <w:r w:rsidRPr="000F509A">
        <w:rPr>
          <w:rFonts w:ascii="Arial" w:eastAsia="Times New Roman" w:hAnsi="Arial" w:cs="Arial"/>
          <w:position w:val="6"/>
          <w:lang w:eastAsia="en-GB"/>
        </w:rPr>
        <w:t xml:space="preserve"> </w:t>
      </w:r>
      <w:r w:rsidRPr="000F509A">
        <w:rPr>
          <w:rFonts w:ascii="Arial" w:eastAsia="Times New Roman" w:hAnsi="Arial" w:cs="Arial"/>
          <w:lang w:eastAsia="en-GB"/>
        </w:rPr>
        <w:t>d’une valeur égale ou supérieure à 10.000 euros – entrant au</w:t>
      </w:r>
      <w:r w:rsidRPr="000F509A">
        <w:rPr>
          <w:rFonts w:ascii="Arial" w:eastAsia="Times New Roman" w:hAnsi="Arial" w:cs="Arial"/>
          <w:lang w:val="fr-CH" w:eastAsia="en-GB"/>
        </w:rPr>
        <w:t xml:space="preserve"> </w:t>
      </w:r>
      <w:r w:rsidRPr="000F509A">
        <w:rPr>
          <w:rFonts w:ascii="Arial" w:eastAsia="Times New Roman" w:hAnsi="Arial" w:cs="Arial"/>
          <w:lang w:eastAsia="en-GB"/>
        </w:rPr>
        <w:t>ou sortant du Grand-</w:t>
      </w:r>
      <w:r>
        <w:rPr>
          <w:rFonts w:ascii="Arial" w:eastAsia="Times New Roman" w:hAnsi="Arial" w:cs="Arial"/>
          <w:lang w:val="fr-FR" w:eastAsia="en-GB"/>
        </w:rPr>
        <w:t>D</w:t>
      </w:r>
      <w:r w:rsidRPr="000F509A">
        <w:rPr>
          <w:rFonts w:ascii="Arial" w:eastAsia="Times New Roman" w:hAnsi="Arial" w:cs="Arial"/>
          <w:lang w:eastAsia="en-GB"/>
        </w:rPr>
        <w:t xml:space="preserve">uché de Luxembourg ou entrant ou sortant de l’Union européenne – à l’Administration des douanes et accises. </w:t>
      </w:r>
    </w:p>
    <w:p w:rsidR="000F509A" w:rsidRDefault="000F509A" w:rsidP="000F509A">
      <w:pPr>
        <w:spacing w:after="0" w:line="240" w:lineRule="auto"/>
        <w:jc w:val="both"/>
        <w:rPr>
          <w:rFonts w:ascii="Arial" w:eastAsia="Times New Roman" w:hAnsi="Arial" w:cs="Arial"/>
          <w:lang w:eastAsia="en-GB"/>
        </w:rPr>
      </w:pPr>
    </w:p>
    <w:p w:rsidR="000F509A" w:rsidRPr="000F509A" w:rsidRDefault="000F509A" w:rsidP="000F509A">
      <w:pPr>
        <w:spacing w:after="0" w:line="240" w:lineRule="auto"/>
        <w:jc w:val="both"/>
        <w:rPr>
          <w:rFonts w:ascii="Arial" w:eastAsia="Times New Roman" w:hAnsi="Arial" w:cs="Arial"/>
          <w:lang w:eastAsia="en-GB"/>
        </w:rPr>
      </w:pPr>
      <w:r w:rsidRPr="000F509A">
        <w:rPr>
          <w:rFonts w:ascii="Arial" w:eastAsia="Times New Roman" w:hAnsi="Arial" w:cs="Arial"/>
          <w:lang w:eastAsia="en-GB"/>
        </w:rPr>
        <w:t>Par ailleurs, les dispositions du projet de loi sous avis confèrent aux fonctionnaires de l’Administration des douanes et accises</w:t>
      </w:r>
      <w:r w:rsidRPr="000F509A">
        <w:rPr>
          <w:rFonts w:ascii="Arial" w:eastAsia="Times New Roman" w:hAnsi="Arial" w:cs="Arial"/>
          <w:position w:val="8"/>
          <w:lang w:eastAsia="en-GB"/>
        </w:rPr>
        <w:t xml:space="preserve"> </w:t>
      </w:r>
      <w:r w:rsidRPr="000F509A">
        <w:rPr>
          <w:rFonts w:ascii="Arial" w:eastAsia="Times New Roman" w:hAnsi="Arial" w:cs="Arial"/>
          <w:lang w:eastAsia="en-GB"/>
        </w:rPr>
        <w:t xml:space="preserve">notamment le pouvoir de soumettre à des mesures de contrôle, d’une part, les personnes physiques, leurs bagages et leurs moyens de transport, et d’autre part, tout envoi contenant ou moyen de transport susceptible de contenir de l’argent liquide non-accompagné. </w:t>
      </w:r>
    </w:p>
    <w:p w:rsidR="000F509A" w:rsidRDefault="000F509A" w:rsidP="000F509A">
      <w:pPr>
        <w:spacing w:after="0" w:line="240" w:lineRule="auto"/>
        <w:jc w:val="both"/>
        <w:rPr>
          <w:rFonts w:ascii="Arial" w:eastAsia="Times New Roman" w:hAnsi="Arial" w:cs="Arial"/>
          <w:lang w:eastAsia="en-GB"/>
        </w:rPr>
      </w:pPr>
    </w:p>
    <w:p w:rsidR="000F509A" w:rsidRPr="000F509A" w:rsidRDefault="000F509A" w:rsidP="000F509A">
      <w:pPr>
        <w:spacing w:after="0" w:line="240" w:lineRule="auto"/>
        <w:jc w:val="both"/>
        <w:rPr>
          <w:rFonts w:ascii="Arial" w:eastAsia="Times New Roman" w:hAnsi="Arial" w:cs="Arial"/>
          <w:lang w:eastAsia="en-GB"/>
        </w:rPr>
      </w:pPr>
      <w:r w:rsidRPr="000F509A">
        <w:rPr>
          <w:rFonts w:ascii="Arial" w:eastAsia="Times New Roman" w:hAnsi="Arial" w:cs="Arial"/>
          <w:lang w:eastAsia="en-GB"/>
        </w:rPr>
        <w:t xml:space="preserve">En outre, le projet de loi sous avis autorise l’Administration des douanes et accises </w:t>
      </w:r>
      <w:r w:rsidR="00450CB4">
        <w:rPr>
          <w:rFonts w:ascii="Arial" w:eastAsia="Times New Roman" w:hAnsi="Arial" w:cs="Arial"/>
          <w:lang w:val="fr-FR" w:eastAsia="en-GB"/>
        </w:rPr>
        <w:t>à</w:t>
      </w:r>
      <w:r w:rsidRPr="000F509A">
        <w:rPr>
          <w:rFonts w:ascii="Arial" w:eastAsia="Times New Roman" w:hAnsi="Arial" w:cs="Arial"/>
          <w:lang w:eastAsia="en-GB"/>
        </w:rPr>
        <w:t xml:space="preserve"> retenir temporairement l’argent liquide dans le cas où (i) l’obligation de déclaration d’argent liquide accompagné ou non accompagné n’a pas été respectée ou (i) il existe des indices que l’argent liquide, indépendamment du montant concerné, est lié à une activité criminelle. </w:t>
      </w:r>
    </w:p>
    <w:p w:rsidR="000F509A" w:rsidRDefault="000F509A" w:rsidP="000F509A">
      <w:pPr>
        <w:spacing w:after="0" w:line="240" w:lineRule="auto"/>
        <w:jc w:val="both"/>
        <w:rPr>
          <w:rFonts w:ascii="Arial" w:eastAsia="Times New Roman" w:hAnsi="Arial" w:cs="Arial"/>
          <w:lang w:val="fr-CH" w:eastAsia="en-GB"/>
        </w:rPr>
      </w:pPr>
    </w:p>
    <w:p w:rsidR="000F509A" w:rsidRPr="000F509A" w:rsidRDefault="000F509A" w:rsidP="000F509A">
      <w:pPr>
        <w:spacing w:after="0" w:line="240" w:lineRule="auto"/>
        <w:jc w:val="both"/>
        <w:rPr>
          <w:rFonts w:ascii="Arial" w:eastAsia="Times New Roman" w:hAnsi="Arial" w:cs="Arial"/>
          <w:lang w:val="fr-CH" w:eastAsia="en-GB"/>
        </w:rPr>
      </w:pPr>
      <w:r w:rsidRPr="000F509A">
        <w:rPr>
          <w:rFonts w:ascii="Arial" w:eastAsia="Times New Roman" w:hAnsi="Arial" w:cs="Arial"/>
          <w:lang w:val="fr-CH" w:eastAsia="en-GB"/>
        </w:rPr>
        <w:t>Un autre volet du projet de loi régit le transfert d’informations entre l’Administration des douanes et accises et la Cellule de renseignement financier.</w:t>
      </w:r>
    </w:p>
    <w:p w:rsidR="000F509A" w:rsidRDefault="000F509A" w:rsidP="000F509A">
      <w:pPr>
        <w:spacing w:after="0" w:line="240" w:lineRule="auto"/>
        <w:jc w:val="both"/>
        <w:rPr>
          <w:rFonts w:ascii="Arial" w:eastAsia="Times New Roman" w:hAnsi="Arial" w:cs="Arial"/>
          <w:lang w:val="fr-CH" w:eastAsia="en-GB"/>
        </w:rPr>
      </w:pPr>
    </w:p>
    <w:p w:rsidR="000F509A" w:rsidRPr="000F509A" w:rsidRDefault="000F509A" w:rsidP="000F509A">
      <w:pPr>
        <w:spacing w:after="0" w:line="240" w:lineRule="auto"/>
        <w:jc w:val="both"/>
        <w:rPr>
          <w:rFonts w:ascii="Arial" w:eastAsia="Times New Roman" w:hAnsi="Arial" w:cs="Arial"/>
          <w:lang w:eastAsia="en-GB"/>
        </w:rPr>
      </w:pPr>
      <w:r w:rsidRPr="000F509A">
        <w:rPr>
          <w:rFonts w:ascii="Arial" w:eastAsia="Times New Roman" w:hAnsi="Arial" w:cs="Arial"/>
          <w:lang w:val="fr-CH" w:eastAsia="en-GB"/>
        </w:rPr>
        <w:t xml:space="preserve">De plus, le projet de loi prévoit que les infractions aux </w:t>
      </w:r>
      <w:r w:rsidRPr="000F509A">
        <w:rPr>
          <w:rFonts w:ascii="Arial" w:eastAsia="Times New Roman" w:hAnsi="Arial" w:cs="Arial"/>
          <w:lang w:eastAsia="en-GB"/>
        </w:rPr>
        <w:t>dispositions des articles 3 et 4</w:t>
      </w:r>
      <w:r w:rsidRPr="000F509A">
        <w:rPr>
          <w:rFonts w:ascii="Arial" w:eastAsia="Times New Roman" w:hAnsi="Arial" w:cs="Arial"/>
          <w:lang w:val="fr-CH" w:eastAsia="en-GB"/>
        </w:rPr>
        <w:t xml:space="preserve"> du projet de loi</w:t>
      </w:r>
      <w:r w:rsidRPr="000F509A">
        <w:rPr>
          <w:rFonts w:ascii="Arial" w:eastAsia="Times New Roman" w:hAnsi="Arial" w:cs="Arial"/>
          <w:lang w:eastAsia="en-GB"/>
        </w:rPr>
        <w:t xml:space="preserve"> </w:t>
      </w:r>
      <w:r w:rsidRPr="000F509A">
        <w:rPr>
          <w:rFonts w:ascii="Arial" w:eastAsia="Times New Roman" w:hAnsi="Arial" w:cs="Arial"/>
          <w:lang w:val="fr-CH" w:eastAsia="en-GB"/>
        </w:rPr>
        <w:t xml:space="preserve">et des articles 3 et 4 du </w:t>
      </w:r>
      <w:r w:rsidRPr="000F509A">
        <w:rPr>
          <w:rFonts w:ascii="Arial" w:eastAsia="Times New Roman" w:hAnsi="Arial" w:cs="Arial"/>
          <w:lang w:eastAsia="en-GB"/>
        </w:rPr>
        <w:t xml:space="preserve">Règlement (UE) 2018/1672 sont punies d’une amende de 251 à 25 000 euros. </w:t>
      </w:r>
      <w:r w:rsidRPr="000F509A">
        <w:rPr>
          <w:rFonts w:ascii="Arial" w:eastAsia="Times New Roman" w:hAnsi="Arial" w:cs="Arial"/>
          <w:lang w:val="fr-CH" w:eastAsia="en-GB"/>
        </w:rPr>
        <w:t>Il est également prévu que l</w:t>
      </w:r>
      <w:r w:rsidRPr="000F509A">
        <w:rPr>
          <w:rFonts w:ascii="Arial" w:eastAsia="Times New Roman" w:hAnsi="Arial" w:cs="Arial"/>
          <w:lang w:eastAsia="en-GB"/>
        </w:rPr>
        <w:t xml:space="preserve">e juge peut ordonner la confiscation partielle de l’argent liquide, sans que le cumul de l’amende et de la confiscation partielle ne </w:t>
      </w:r>
      <w:r w:rsidRPr="000F509A">
        <w:rPr>
          <w:rFonts w:ascii="Arial" w:eastAsia="Times New Roman" w:hAnsi="Arial" w:cs="Arial"/>
          <w:lang w:eastAsia="en-GB"/>
        </w:rPr>
        <w:lastRenderedPageBreak/>
        <w:t xml:space="preserve">puisse dépasser 50% du montant de l’argent liquide non déclaré ou non divulgué, selon le cas. </w:t>
      </w:r>
    </w:p>
    <w:p w:rsidR="000F509A" w:rsidRDefault="000F509A" w:rsidP="000F509A">
      <w:pPr>
        <w:spacing w:after="0" w:line="240" w:lineRule="auto"/>
        <w:jc w:val="both"/>
        <w:rPr>
          <w:rFonts w:ascii="Arial" w:eastAsia="Times New Roman" w:hAnsi="Arial" w:cs="Arial"/>
          <w:lang w:val="fr-CH" w:eastAsia="en-GB"/>
        </w:rPr>
      </w:pPr>
    </w:p>
    <w:p w:rsidR="000F509A" w:rsidRPr="000F509A" w:rsidRDefault="000F509A" w:rsidP="000F509A">
      <w:pPr>
        <w:spacing w:after="0" w:line="240" w:lineRule="auto"/>
        <w:jc w:val="both"/>
        <w:rPr>
          <w:rFonts w:ascii="Arial" w:eastAsia="Times New Roman" w:hAnsi="Arial" w:cs="Arial"/>
          <w:lang w:val="fr-CH" w:eastAsia="en-GB"/>
        </w:rPr>
      </w:pPr>
      <w:r w:rsidRPr="000F509A">
        <w:rPr>
          <w:rFonts w:ascii="Arial" w:eastAsia="Times New Roman" w:hAnsi="Arial" w:cs="Arial"/>
          <w:lang w:val="fr-CH" w:eastAsia="en-GB"/>
        </w:rPr>
        <w:t>Finalement, le présent projet de loi vise à abroger l</w:t>
      </w:r>
      <w:r w:rsidRPr="000F509A">
        <w:rPr>
          <w:rFonts w:ascii="Arial" w:eastAsia="Times New Roman" w:hAnsi="Arial" w:cs="Arial"/>
          <w:lang w:eastAsia="en-GB"/>
        </w:rPr>
        <w:t>a loi du 27 octobre 2010 portant organisation des contrôles du transport physique de l'argent liquide entrant au, transitant par le ou sortant du Grand-Duché de Luxembourg</w:t>
      </w:r>
      <w:r w:rsidRPr="000F509A">
        <w:rPr>
          <w:rFonts w:ascii="Arial" w:eastAsia="Times New Roman" w:hAnsi="Arial" w:cs="Arial"/>
          <w:lang w:val="fr-CH" w:eastAsia="en-GB"/>
        </w:rPr>
        <w:t>.</w:t>
      </w:r>
    </w:p>
    <w:p w:rsidR="000F509A" w:rsidRPr="000F509A" w:rsidRDefault="000F509A" w:rsidP="000F509A">
      <w:pPr>
        <w:spacing w:after="0" w:line="240" w:lineRule="auto"/>
        <w:jc w:val="both"/>
        <w:rPr>
          <w:rFonts w:ascii="Arial" w:hAnsi="Arial" w:cs="Arial"/>
          <w:lang w:val="fr-FR"/>
        </w:rPr>
      </w:pPr>
    </w:p>
    <w:p w:rsidR="00895247" w:rsidRPr="00F826AC" w:rsidRDefault="00895247" w:rsidP="00495E9F">
      <w:pPr>
        <w:spacing w:after="0" w:line="240" w:lineRule="auto"/>
        <w:rPr>
          <w:rFonts w:ascii="Arial" w:hAnsi="Arial" w:cs="Arial"/>
          <w:iCs/>
        </w:rPr>
      </w:pPr>
    </w:p>
    <w:sectPr w:rsidR="00895247" w:rsidRPr="00F826A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C12" w:rsidRDefault="00290C12" w:rsidP="006E6CEA">
      <w:pPr>
        <w:spacing w:after="0" w:line="240" w:lineRule="auto"/>
      </w:pPr>
      <w:r>
        <w:separator/>
      </w:r>
    </w:p>
  </w:endnote>
  <w:endnote w:type="continuationSeparator" w:id="0">
    <w:p w:rsidR="00290C12" w:rsidRDefault="00290C12"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EA" w:rsidRDefault="006E6CEA">
    <w:pPr>
      <w:pStyle w:val="Pieddepage"/>
      <w:jc w:val="center"/>
    </w:pPr>
    <w:r>
      <w:fldChar w:fldCharType="begin"/>
    </w:r>
    <w:r>
      <w:instrText>PAGE   \* MERGEFORMAT</w:instrText>
    </w:r>
    <w:r>
      <w:fldChar w:fldCharType="separate"/>
    </w:r>
    <w:r w:rsidR="0028518D" w:rsidRPr="0028518D">
      <w:rPr>
        <w:noProof/>
        <w:lang w:val="fr-FR"/>
      </w:rPr>
      <w:t>1</w:t>
    </w:r>
    <w:r>
      <w:fldChar w:fldCharType="end"/>
    </w:r>
  </w:p>
  <w:p w:rsidR="006E6CEA" w:rsidRDefault="006E6C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C12" w:rsidRDefault="00290C12" w:rsidP="006E6CEA">
      <w:pPr>
        <w:spacing w:after="0" w:line="240" w:lineRule="auto"/>
      </w:pPr>
      <w:r>
        <w:separator/>
      </w:r>
    </w:p>
  </w:footnote>
  <w:footnote w:type="continuationSeparator" w:id="0">
    <w:p w:rsidR="00290C12" w:rsidRDefault="00290C12"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E73B6"/>
    <w:multiLevelType w:val="hybridMultilevel"/>
    <w:tmpl w:val="F0801D48"/>
    <w:lvl w:ilvl="0" w:tplc="C4B027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5806BC"/>
    <w:multiLevelType w:val="hybridMultilevel"/>
    <w:tmpl w:val="A992BF44"/>
    <w:lvl w:ilvl="0" w:tplc="586CB9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03D69"/>
    <w:multiLevelType w:val="hybridMultilevel"/>
    <w:tmpl w:val="9760C080"/>
    <w:lvl w:ilvl="0" w:tplc="B6149F9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21E74652"/>
    <w:multiLevelType w:val="hybridMultilevel"/>
    <w:tmpl w:val="16948CEE"/>
    <w:lvl w:ilvl="0" w:tplc="D5943E1A">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779ED"/>
    <w:multiLevelType w:val="hybridMultilevel"/>
    <w:tmpl w:val="837A44D2"/>
    <w:lvl w:ilvl="0" w:tplc="EEF0F0A4">
      <w:start w:val="2"/>
      <w:numFmt w:val="decimal"/>
      <w:lvlText w:val="(%1)"/>
      <w:lvlJc w:val="left"/>
      <w:pPr>
        <w:ind w:left="36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22815A15"/>
    <w:multiLevelType w:val="hybridMultilevel"/>
    <w:tmpl w:val="ADAC18D2"/>
    <w:lvl w:ilvl="0" w:tplc="D5943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A0653"/>
    <w:multiLevelType w:val="hybridMultilevel"/>
    <w:tmpl w:val="1E868424"/>
    <w:lvl w:ilvl="0" w:tplc="8D102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7643CF0"/>
    <w:multiLevelType w:val="hybridMultilevel"/>
    <w:tmpl w:val="E8F80C5C"/>
    <w:lvl w:ilvl="0" w:tplc="81AABE40">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20448B"/>
    <w:multiLevelType w:val="hybridMultilevel"/>
    <w:tmpl w:val="306ABE32"/>
    <w:lvl w:ilvl="0" w:tplc="C7C426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3033B6"/>
    <w:multiLevelType w:val="hybridMultilevel"/>
    <w:tmpl w:val="06A2CF50"/>
    <w:lvl w:ilvl="0" w:tplc="504854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181E57"/>
    <w:multiLevelType w:val="hybridMultilevel"/>
    <w:tmpl w:val="68563BC8"/>
    <w:lvl w:ilvl="0" w:tplc="D5943E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C24E66"/>
    <w:multiLevelType w:val="hybridMultilevel"/>
    <w:tmpl w:val="3CE210D0"/>
    <w:lvl w:ilvl="0" w:tplc="6EDC682A">
      <w:start w:val="3"/>
      <w:numFmt w:val="decimal"/>
      <w:lvlText w:val="(%1)"/>
      <w:lvlJc w:val="left"/>
      <w:pPr>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2E7531"/>
    <w:multiLevelType w:val="hybridMultilevel"/>
    <w:tmpl w:val="56429CAC"/>
    <w:lvl w:ilvl="0" w:tplc="D9ECE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15:restartNumberingAfterBreak="0">
    <w:nsid w:val="72CF50F2"/>
    <w:multiLevelType w:val="hybridMultilevel"/>
    <w:tmpl w:val="901ACEC0"/>
    <w:lvl w:ilvl="0" w:tplc="58947A0E">
      <w:start w:val="3"/>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15:restartNumberingAfterBreak="0">
    <w:nsid w:val="77C056EE"/>
    <w:multiLevelType w:val="hybridMultilevel"/>
    <w:tmpl w:val="C414E784"/>
    <w:lvl w:ilvl="0" w:tplc="D5943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C34F00"/>
    <w:multiLevelType w:val="hybridMultilevel"/>
    <w:tmpl w:val="1CB217C4"/>
    <w:lvl w:ilvl="0" w:tplc="03925142">
      <w:start w:val="3"/>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3C4125"/>
    <w:multiLevelType w:val="hybridMultilevel"/>
    <w:tmpl w:val="D122929A"/>
    <w:lvl w:ilvl="0" w:tplc="25348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14"/>
  </w:num>
  <w:num w:numId="4">
    <w:abstractNumId w:val="15"/>
  </w:num>
  <w:num w:numId="5">
    <w:abstractNumId w:val="13"/>
  </w:num>
  <w:num w:numId="6">
    <w:abstractNumId w:val="20"/>
  </w:num>
  <w:num w:numId="7">
    <w:abstractNumId w:val="21"/>
  </w:num>
  <w:num w:numId="8">
    <w:abstractNumId w:val="3"/>
  </w:num>
  <w:num w:numId="9">
    <w:abstractNumId w:val="12"/>
  </w:num>
  <w:num w:numId="10">
    <w:abstractNumId w:val="1"/>
  </w:num>
  <w:num w:numId="11">
    <w:abstractNumId w:val="2"/>
  </w:num>
  <w:num w:numId="12">
    <w:abstractNumId w:val="0"/>
  </w:num>
  <w:num w:numId="13">
    <w:abstractNumId w:val="9"/>
  </w:num>
  <w:num w:numId="14">
    <w:abstractNumId w:val="7"/>
  </w:num>
  <w:num w:numId="15">
    <w:abstractNumId w:val="10"/>
  </w:num>
  <w:num w:numId="16">
    <w:abstractNumId w:val="11"/>
  </w:num>
  <w:num w:numId="17">
    <w:abstractNumId w:val="24"/>
  </w:num>
  <w:num w:numId="18">
    <w:abstractNumId w:val="22"/>
  </w:num>
  <w:num w:numId="19">
    <w:abstractNumId w:val="17"/>
  </w:num>
  <w:num w:numId="20">
    <w:abstractNumId w:val="6"/>
  </w:num>
  <w:num w:numId="21">
    <w:abstractNumId w:val="4"/>
  </w:num>
  <w:num w:numId="22">
    <w:abstractNumId w:val="19"/>
  </w:num>
  <w:num w:numId="23">
    <w:abstractNumId w:val="16"/>
  </w:num>
  <w:num w:numId="24">
    <w:abstractNumId w:val="2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14AC5"/>
    <w:rsid w:val="0002273C"/>
    <w:rsid w:val="00032612"/>
    <w:rsid w:val="000369A2"/>
    <w:rsid w:val="000762ED"/>
    <w:rsid w:val="0008301E"/>
    <w:rsid w:val="000864BE"/>
    <w:rsid w:val="000A4628"/>
    <w:rsid w:val="000C1546"/>
    <w:rsid w:val="000E235A"/>
    <w:rsid w:val="000F509A"/>
    <w:rsid w:val="000F5978"/>
    <w:rsid w:val="0010111B"/>
    <w:rsid w:val="001014AB"/>
    <w:rsid w:val="00124094"/>
    <w:rsid w:val="0016507E"/>
    <w:rsid w:val="00170E30"/>
    <w:rsid w:val="00192479"/>
    <w:rsid w:val="001A6A33"/>
    <w:rsid w:val="001B6A4B"/>
    <w:rsid w:val="0022485B"/>
    <w:rsid w:val="0027387E"/>
    <w:rsid w:val="002750A4"/>
    <w:rsid w:val="0028518D"/>
    <w:rsid w:val="002851C5"/>
    <w:rsid w:val="00290C12"/>
    <w:rsid w:val="00295BAF"/>
    <w:rsid w:val="002E5421"/>
    <w:rsid w:val="002F0ADB"/>
    <w:rsid w:val="002F1C8D"/>
    <w:rsid w:val="002F3B16"/>
    <w:rsid w:val="00304830"/>
    <w:rsid w:val="0033142D"/>
    <w:rsid w:val="003D681E"/>
    <w:rsid w:val="003E2FA3"/>
    <w:rsid w:val="003F2C1C"/>
    <w:rsid w:val="003F5E23"/>
    <w:rsid w:val="00426CEF"/>
    <w:rsid w:val="00450CB4"/>
    <w:rsid w:val="00457D17"/>
    <w:rsid w:val="00457E34"/>
    <w:rsid w:val="00495E9F"/>
    <w:rsid w:val="004A1E95"/>
    <w:rsid w:val="004F12BA"/>
    <w:rsid w:val="004F5190"/>
    <w:rsid w:val="00506134"/>
    <w:rsid w:val="00531407"/>
    <w:rsid w:val="005969DE"/>
    <w:rsid w:val="005A2AF3"/>
    <w:rsid w:val="005A5799"/>
    <w:rsid w:val="005A57B6"/>
    <w:rsid w:val="005B5C56"/>
    <w:rsid w:val="005D7422"/>
    <w:rsid w:val="005E6821"/>
    <w:rsid w:val="00612ABB"/>
    <w:rsid w:val="006135EC"/>
    <w:rsid w:val="00620BC3"/>
    <w:rsid w:val="00630E07"/>
    <w:rsid w:val="00644FFF"/>
    <w:rsid w:val="0067588D"/>
    <w:rsid w:val="006856AE"/>
    <w:rsid w:val="006A07E7"/>
    <w:rsid w:val="006B25FC"/>
    <w:rsid w:val="006E6CEA"/>
    <w:rsid w:val="006F1000"/>
    <w:rsid w:val="007265A3"/>
    <w:rsid w:val="007344C3"/>
    <w:rsid w:val="00752348"/>
    <w:rsid w:val="00784005"/>
    <w:rsid w:val="007942C7"/>
    <w:rsid w:val="007965F7"/>
    <w:rsid w:val="007C160B"/>
    <w:rsid w:val="007D39A0"/>
    <w:rsid w:val="007D57D1"/>
    <w:rsid w:val="00802625"/>
    <w:rsid w:val="00820850"/>
    <w:rsid w:val="00835FB4"/>
    <w:rsid w:val="00860053"/>
    <w:rsid w:val="00860178"/>
    <w:rsid w:val="00885ED7"/>
    <w:rsid w:val="00892663"/>
    <w:rsid w:val="00895247"/>
    <w:rsid w:val="008A63BD"/>
    <w:rsid w:val="008D2E3F"/>
    <w:rsid w:val="008D6BC5"/>
    <w:rsid w:val="0092477B"/>
    <w:rsid w:val="009278CA"/>
    <w:rsid w:val="009321B5"/>
    <w:rsid w:val="00955836"/>
    <w:rsid w:val="00957D98"/>
    <w:rsid w:val="009603F8"/>
    <w:rsid w:val="009870DC"/>
    <w:rsid w:val="009964F5"/>
    <w:rsid w:val="009C0799"/>
    <w:rsid w:val="009C1258"/>
    <w:rsid w:val="009D3856"/>
    <w:rsid w:val="00A349A8"/>
    <w:rsid w:val="00A53E99"/>
    <w:rsid w:val="00A63AE6"/>
    <w:rsid w:val="00AA0D6B"/>
    <w:rsid w:val="00AB190B"/>
    <w:rsid w:val="00AB49F1"/>
    <w:rsid w:val="00B03BD1"/>
    <w:rsid w:val="00B204B5"/>
    <w:rsid w:val="00B47712"/>
    <w:rsid w:val="00B66571"/>
    <w:rsid w:val="00B74D07"/>
    <w:rsid w:val="00BA11CD"/>
    <w:rsid w:val="00BB6D4C"/>
    <w:rsid w:val="00C00C43"/>
    <w:rsid w:val="00C05F8E"/>
    <w:rsid w:val="00C24E93"/>
    <w:rsid w:val="00C51C4E"/>
    <w:rsid w:val="00C53B16"/>
    <w:rsid w:val="00C626D7"/>
    <w:rsid w:val="00C86BA6"/>
    <w:rsid w:val="00CB5268"/>
    <w:rsid w:val="00CE7012"/>
    <w:rsid w:val="00CE7957"/>
    <w:rsid w:val="00CF6BB4"/>
    <w:rsid w:val="00D00C76"/>
    <w:rsid w:val="00D752D4"/>
    <w:rsid w:val="00D97E3C"/>
    <w:rsid w:val="00DB0A9D"/>
    <w:rsid w:val="00E02A9D"/>
    <w:rsid w:val="00E072B7"/>
    <w:rsid w:val="00E14DA9"/>
    <w:rsid w:val="00E15212"/>
    <w:rsid w:val="00E3772A"/>
    <w:rsid w:val="00E526B7"/>
    <w:rsid w:val="00E842D2"/>
    <w:rsid w:val="00E86159"/>
    <w:rsid w:val="00E9258F"/>
    <w:rsid w:val="00E93021"/>
    <w:rsid w:val="00EB2727"/>
    <w:rsid w:val="00ED14F0"/>
    <w:rsid w:val="00EF3C5C"/>
    <w:rsid w:val="00F007BB"/>
    <w:rsid w:val="00F15F71"/>
    <w:rsid w:val="00F27547"/>
    <w:rsid w:val="00F60E44"/>
    <w:rsid w:val="00F826AC"/>
    <w:rsid w:val="00FC2511"/>
    <w:rsid w:val="00FD42D0"/>
    <w:rsid w:val="00FE1D6A"/>
    <w:rsid w:val="00FF181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BCE46F1-C88E-4ED8-AAC6-D9AB9FFD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val="fr-FR" w:eastAsia="ar-SA"/>
    </w:rPr>
  </w:style>
  <w:style w:type="paragraph" w:styleId="Commentaire">
    <w:name w:val="annotation text"/>
    <w:basedOn w:val="Normal"/>
    <w:link w:val="CommentaireCar"/>
    <w:uiPriority w:val="99"/>
    <w:semiHidden/>
    <w:unhideWhenUsed/>
    <w:rsid w:val="004A1E95"/>
    <w:rPr>
      <w:sz w:val="20"/>
      <w:szCs w:val="20"/>
    </w:rPr>
  </w:style>
  <w:style w:type="character" w:customStyle="1" w:styleId="CommentaireCar">
    <w:name w:val="Commentaire Car"/>
    <w:link w:val="Commentaire"/>
    <w:uiPriority w:val="99"/>
    <w:semiHidden/>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paragraph" w:styleId="Notedebasdepage">
    <w:name w:val="footnote text"/>
    <w:basedOn w:val="Normal"/>
    <w:link w:val="NotedebasdepageCar"/>
    <w:uiPriority w:val="99"/>
    <w:semiHidden/>
    <w:unhideWhenUsed/>
    <w:rsid w:val="006856AE"/>
    <w:rPr>
      <w:sz w:val="20"/>
      <w:szCs w:val="20"/>
    </w:rPr>
  </w:style>
  <w:style w:type="character" w:customStyle="1" w:styleId="NotedebasdepageCar">
    <w:name w:val="Note de bas de page Car"/>
    <w:link w:val="Notedebasdepage"/>
    <w:uiPriority w:val="99"/>
    <w:semiHidden/>
    <w:rsid w:val="006856AE"/>
    <w:rPr>
      <w:lang w:eastAsia="en-US"/>
    </w:rPr>
  </w:style>
  <w:style w:type="character" w:customStyle="1" w:styleId="Lienhypertexte1">
    <w:name w:val="Lien hypertexte1"/>
    <w:uiPriority w:val="99"/>
    <w:unhideWhenUsed/>
    <w:rsid w:val="006856AE"/>
    <w:rPr>
      <w:color w:val="0563C1"/>
      <w:u w:val="single"/>
    </w:rPr>
  </w:style>
  <w:style w:type="character" w:styleId="Appelnotedebasdep">
    <w:name w:val="footnote reference"/>
    <w:aliases w:val="Footnote symbol"/>
    <w:uiPriority w:val="99"/>
    <w:unhideWhenUsed/>
    <w:rsid w:val="006856AE"/>
    <w:rPr>
      <w:vertAlign w:val="superscript"/>
    </w:rPr>
  </w:style>
  <w:style w:type="character" w:styleId="Lienhypertexte">
    <w:name w:val="Hyperlink"/>
    <w:uiPriority w:val="99"/>
    <w:semiHidden/>
    <w:unhideWhenUsed/>
    <w:rsid w:val="006856AE"/>
    <w:rPr>
      <w:color w:val="0563C1"/>
      <w:u w:val="single"/>
    </w:rPr>
  </w:style>
  <w:style w:type="paragraph" w:styleId="NormalWeb">
    <w:name w:val="Normal (Web)"/>
    <w:basedOn w:val="Normal"/>
    <w:uiPriority w:val="99"/>
    <w:semiHidden/>
    <w:unhideWhenUsed/>
    <w:rsid w:val="001014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DP7677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7677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/sftpecos/Dossiers_parlementaires/7677/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AF7A908-3623-4BF8-ABDC-872E50D1E3A3}"/>
</file>

<file path=customXml/itemProps2.xml><?xml version="1.0" encoding="utf-8"?>
<ds:datastoreItem xmlns:ds="http://schemas.openxmlformats.org/officeDocument/2006/customXml" ds:itemID="{38CD1596-8BF7-4B9C-B686-203DBF00ABF2}"/>
</file>

<file path=customXml/itemProps3.xml><?xml version="1.0" encoding="utf-8"?>
<ds:datastoreItem xmlns:ds="http://schemas.openxmlformats.org/officeDocument/2006/customXml" ds:itemID="{763D7E7A-FE92-43FB-8571-6CA619F9A9C1}"/>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3377</Characters>
  <Application>Microsoft Office Word</Application>
  <DocSecurity>4</DocSecurity>
  <Lines>28</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2019-11-08T08:17:00Z</cp:lastPrinted>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