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65" w:rsidRPr="00DD4C65" w:rsidRDefault="00FB15A6" w:rsidP="00DD4C65">
      <w:pPr>
        <w:spacing w:line="276" w:lineRule="auto"/>
        <w:jc w:val="both"/>
        <w:rPr>
          <w:rFonts w:ascii="Arial" w:hAnsi="Arial" w:cs="Arial"/>
        </w:rPr>
      </w:pPr>
      <w:bookmarkStart w:id="0" w:name="_GoBack"/>
      <w:bookmarkEnd w:id="0"/>
      <w:r>
        <w:rPr>
          <w:rFonts w:ascii="Arial" w:hAnsi="Arial" w:cs="Arial"/>
        </w:rPr>
        <w:t>T</w:t>
      </w:r>
      <w:r w:rsidR="00DD4C65" w:rsidRPr="00DD4C65">
        <w:rPr>
          <w:rFonts w:ascii="Arial" w:hAnsi="Arial" w:cs="Arial"/>
        </w:rPr>
        <w:t xml:space="preserve">ant le compte général que le budget pour ordre de l’exercice 2019 affichent un </w:t>
      </w:r>
      <w:r w:rsidR="00DD4C65" w:rsidRPr="00DD4C65">
        <w:rPr>
          <w:rFonts w:ascii="Arial" w:hAnsi="Arial" w:cs="Arial"/>
          <w:u w:val="single"/>
        </w:rPr>
        <w:t>résultat positif</w:t>
      </w:r>
      <w:r w:rsidR="00DD4C65" w:rsidRPr="00DD4C65">
        <w:rPr>
          <w:rFonts w:ascii="Arial" w:hAnsi="Arial" w:cs="Arial"/>
        </w:rPr>
        <w:t>.</w:t>
      </w:r>
    </w:p>
    <w:p w:rsidR="00DD4C65" w:rsidRPr="00FB15A6" w:rsidRDefault="00DD4C65" w:rsidP="00DD4C65">
      <w:pPr>
        <w:spacing w:line="276" w:lineRule="auto"/>
        <w:jc w:val="both"/>
        <w:rPr>
          <w:rFonts w:ascii="Arial" w:hAnsi="Arial" w:cs="Arial"/>
          <w:sz w:val="18"/>
          <w:szCs w:val="18"/>
        </w:rPr>
      </w:pPr>
    </w:p>
    <w:tbl>
      <w:tblPr>
        <w:tblW w:w="7984" w:type="dxa"/>
        <w:tblInd w:w="1304" w:type="dxa"/>
        <w:tblLayout w:type="fixed"/>
        <w:tblCellMar>
          <w:left w:w="0" w:type="dxa"/>
          <w:right w:w="0" w:type="dxa"/>
        </w:tblCellMar>
        <w:tblLook w:val="0000" w:firstRow="0" w:lastRow="0" w:firstColumn="0" w:lastColumn="0" w:noHBand="0" w:noVBand="0"/>
      </w:tblPr>
      <w:tblGrid>
        <w:gridCol w:w="548"/>
        <w:gridCol w:w="5627"/>
        <w:gridCol w:w="1809"/>
      </w:tblGrid>
      <w:tr w:rsidR="00DD4C65" w:rsidRPr="00FB15A6" w:rsidTr="0024060B">
        <w:trPr>
          <w:cantSplit/>
          <w:trHeight w:val="397"/>
        </w:trPr>
        <w:tc>
          <w:tcPr>
            <w:tcW w:w="7984" w:type="dxa"/>
            <w:gridSpan w:val="3"/>
            <w:tcMar>
              <w:top w:w="0" w:type="dxa"/>
              <w:left w:w="108" w:type="dxa"/>
              <w:bottom w:w="0" w:type="dxa"/>
              <w:right w:w="108" w:type="dxa"/>
            </w:tcMar>
            <w:vAlign w:val="center"/>
          </w:tcPr>
          <w:p w:rsidR="00DD4C65" w:rsidRPr="00FB15A6" w:rsidRDefault="00DD4C65" w:rsidP="00DD4C65">
            <w:pPr>
              <w:keepNext/>
              <w:numPr>
                <w:ilvl w:val="0"/>
                <w:numId w:val="2"/>
              </w:numPr>
              <w:spacing w:after="0" w:line="276" w:lineRule="auto"/>
              <w:ind w:right="34"/>
              <w:jc w:val="center"/>
              <w:rPr>
                <w:rFonts w:ascii="Arial" w:hAnsi="Arial" w:cs="Arial"/>
                <w:b/>
                <w:bCs/>
                <w:sz w:val="18"/>
                <w:szCs w:val="18"/>
              </w:rPr>
            </w:pPr>
            <w:r w:rsidRPr="00FB15A6">
              <w:rPr>
                <w:rFonts w:ascii="Arial" w:hAnsi="Arial" w:cs="Arial"/>
                <w:b/>
                <w:bCs/>
                <w:sz w:val="18"/>
                <w:szCs w:val="18"/>
              </w:rPr>
              <w:t>Recettes et dépenses courantes en capital</w:t>
            </w:r>
          </w:p>
          <w:p w:rsidR="00DD4C65" w:rsidRPr="00FB15A6" w:rsidRDefault="00DD4C65" w:rsidP="0024060B">
            <w:pPr>
              <w:keepNext/>
              <w:spacing w:after="0" w:line="276" w:lineRule="auto"/>
              <w:ind w:left="720" w:right="34"/>
              <w:jc w:val="center"/>
              <w:rPr>
                <w:rFonts w:ascii="Arial" w:hAnsi="Arial" w:cs="Arial"/>
                <w:b/>
                <w:bCs/>
                <w:sz w:val="18"/>
                <w:szCs w:val="18"/>
              </w:rPr>
            </w:pPr>
            <w:r w:rsidRPr="00FB15A6">
              <w:rPr>
                <w:rFonts w:ascii="Arial" w:hAnsi="Arial" w:cs="Arial"/>
                <w:b/>
                <w:bCs/>
                <w:sz w:val="18"/>
                <w:szCs w:val="18"/>
              </w:rPr>
              <w:t>et relatives aux opérations financières</w:t>
            </w:r>
          </w:p>
          <w:p w:rsidR="00DD4C65" w:rsidRPr="00FB15A6" w:rsidRDefault="00DD4C65" w:rsidP="0024060B">
            <w:pPr>
              <w:keepNext/>
              <w:spacing w:after="0" w:line="276" w:lineRule="auto"/>
              <w:ind w:left="720" w:right="34"/>
              <w:rPr>
                <w:rFonts w:ascii="Arial" w:hAnsi="Arial" w:cs="Arial"/>
                <w:sz w:val="18"/>
                <w:szCs w:val="18"/>
              </w:rPr>
            </w:pPr>
          </w:p>
        </w:tc>
      </w:tr>
      <w:tr w:rsidR="00DD4C65" w:rsidRPr="00FB15A6" w:rsidTr="0024060B">
        <w:trPr>
          <w:cantSplit/>
          <w:trHeight w:val="624"/>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Report du solde des recettes et dépenses (« réserve budgétaire ») de l’année précédente</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-1.498.121.577,27</w:t>
            </w:r>
          </w:p>
        </w:tc>
      </w:tr>
      <w:tr w:rsidR="00DD4C65" w:rsidRPr="00FB15A6" w:rsidTr="0024060B">
        <w:trPr>
          <w:cantSplit/>
          <w:trHeight w:val="397"/>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w:t>
            </w: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Recettes effectives</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19.112.169.340,64</w:t>
            </w:r>
          </w:p>
        </w:tc>
      </w:tr>
      <w:tr w:rsidR="00DD4C65" w:rsidRPr="00FB15A6" w:rsidTr="0024060B">
        <w:trPr>
          <w:cantSplit/>
          <w:trHeight w:val="397"/>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Dépenses effectives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17.839.255.094,06</w:t>
            </w:r>
          </w:p>
        </w:tc>
      </w:tr>
      <w:tr w:rsidR="00DD4C65" w:rsidRPr="00FB15A6" w:rsidTr="0024060B">
        <w:trPr>
          <w:cantSplit/>
          <w:trHeight w:val="397"/>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Excédent de recettes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1.272.914.246,58</w:t>
            </w:r>
          </w:p>
        </w:tc>
      </w:tr>
      <w:tr w:rsidR="00DD4C65" w:rsidRPr="00FB15A6" w:rsidTr="0024060B">
        <w:trPr>
          <w:cantSplit/>
          <w:trHeight w:val="397"/>
        </w:trPr>
        <w:tc>
          <w:tcPr>
            <w:tcW w:w="548" w:type="dxa"/>
            <w:tcBorders>
              <w:top w:val="single" w:sz="4" w:space="0" w:color="auto"/>
              <w:left w:val="nil"/>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IV.</w:t>
            </w:r>
          </w:p>
        </w:tc>
        <w:tc>
          <w:tcPr>
            <w:tcW w:w="562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Report du solde des recettes et dépenses (« réserve budgétaire »)</w:t>
            </w:r>
          </w:p>
        </w:tc>
        <w:tc>
          <w:tcPr>
            <w:tcW w:w="1809" w:type="dxa"/>
            <w:tcBorders>
              <w:top w:val="single" w:sz="4" w:space="0" w:color="auto"/>
              <w:left w:val="single" w:sz="4" w:space="0" w:color="auto"/>
              <w:bottom w:val="nil"/>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-225.207.330,69</w:t>
            </w:r>
          </w:p>
        </w:tc>
      </w:tr>
    </w:tbl>
    <w:p w:rsidR="00FB15A6" w:rsidRPr="00FB15A6" w:rsidRDefault="00FB15A6" w:rsidP="00DD4C65">
      <w:pPr>
        <w:pStyle w:val="1TEXTE"/>
        <w:spacing w:line="276" w:lineRule="auto"/>
        <w:ind w:left="0" w:firstLine="0"/>
        <w:rPr>
          <w:rFonts w:ascii="Arial" w:hAnsi="Arial" w:cs="Arial"/>
          <w:sz w:val="18"/>
          <w:szCs w:val="18"/>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DD4C65" w:rsidRPr="00FB15A6" w:rsidTr="0024060B">
        <w:trPr>
          <w:cantSplit/>
          <w:trHeight w:val="397"/>
        </w:trPr>
        <w:tc>
          <w:tcPr>
            <w:tcW w:w="7938" w:type="dxa"/>
            <w:gridSpan w:val="3"/>
            <w:tcBorders>
              <w:top w:val="nil"/>
              <w:left w:val="nil"/>
              <w:right w:val="nil"/>
            </w:tcBorders>
            <w:tcMar>
              <w:top w:w="0" w:type="dxa"/>
              <w:left w:w="108" w:type="dxa"/>
              <w:bottom w:w="0" w:type="dxa"/>
              <w:right w:w="108" w:type="dxa"/>
            </w:tcMar>
            <w:vAlign w:val="center"/>
          </w:tcPr>
          <w:p w:rsidR="00DD4C65" w:rsidRPr="00FB15A6" w:rsidRDefault="00DD4C65" w:rsidP="0024060B">
            <w:pPr>
              <w:spacing w:before="120" w:after="240" w:line="276" w:lineRule="auto"/>
              <w:ind w:right="34"/>
              <w:jc w:val="center"/>
              <w:rPr>
                <w:rFonts w:ascii="Arial" w:hAnsi="Arial" w:cs="Arial"/>
                <w:sz w:val="18"/>
                <w:szCs w:val="18"/>
              </w:rPr>
            </w:pPr>
            <w:r w:rsidRPr="00FB15A6">
              <w:rPr>
                <w:rFonts w:ascii="Arial" w:hAnsi="Arial" w:cs="Arial"/>
                <w:b/>
                <w:bCs/>
                <w:sz w:val="18"/>
                <w:szCs w:val="18"/>
              </w:rPr>
              <w:t>B. Recettes et dépenses pour ordre</w:t>
            </w:r>
          </w:p>
        </w:tc>
      </w:tr>
      <w:tr w:rsidR="00DD4C65" w:rsidRPr="00FB15A6" w:rsidTr="0024060B">
        <w:trPr>
          <w:cantSplit/>
          <w:trHeight w:val="624"/>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line="276" w:lineRule="auto"/>
              <w:rPr>
                <w:rFonts w:ascii="Arial" w:hAnsi="Arial" w:cs="Arial"/>
                <w:color w:val="2E74B5"/>
                <w:sz w:val="18"/>
                <w:szCs w:val="18"/>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ind w:right="-108"/>
              <w:jc w:val="both"/>
              <w:rPr>
                <w:rFonts w:ascii="Arial" w:hAnsi="Arial" w:cs="Arial"/>
                <w:sz w:val="18"/>
                <w:szCs w:val="18"/>
              </w:rPr>
            </w:pPr>
            <w:r w:rsidRPr="00FB15A6">
              <w:rPr>
                <w:rFonts w:ascii="Arial" w:hAnsi="Arial" w:cs="Arial"/>
                <w:sz w:val="18"/>
                <w:szCs w:val="18"/>
              </w:rPr>
              <w:t>Report du solde des recettes et dépenses pour ordre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11.612.388,14</w:t>
            </w:r>
          </w:p>
        </w:tc>
      </w:tr>
      <w:tr w:rsidR="00DD4C65" w:rsidRPr="00FB15A6" w:rsidTr="0024060B">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ind w:right="-108"/>
              <w:jc w:val="both"/>
              <w:rPr>
                <w:rFonts w:ascii="Arial" w:hAnsi="Arial" w:cs="Arial"/>
                <w:sz w:val="18"/>
                <w:szCs w:val="18"/>
              </w:rPr>
            </w:pPr>
            <w:r w:rsidRPr="00FB15A6">
              <w:rPr>
                <w:rFonts w:ascii="Arial" w:hAnsi="Arial" w:cs="Arial"/>
                <w:sz w:val="18"/>
                <w:szCs w:val="18"/>
              </w:rPr>
              <w:t>Recettes pour ordre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1.781.034.751,32</w:t>
            </w:r>
          </w:p>
        </w:tc>
      </w:tr>
      <w:tr w:rsidR="00DD4C65" w:rsidRPr="00FB15A6" w:rsidTr="0024060B">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ind w:right="-108"/>
              <w:jc w:val="both"/>
              <w:rPr>
                <w:rFonts w:ascii="Arial" w:hAnsi="Arial" w:cs="Arial"/>
                <w:sz w:val="18"/>
                <w:szCs w:val="18"/>
              </w:rPr>
            </w:pPr>
            <w:r w:rsidRPr="00FB15A6">
              <w:rPr>
                <w:rFonts w:ascii="Arial" w:hAnsi="Arial" w:cs="Arial"/>
                <w:sz w:val="18"/>
                <w:szCs w:val="18"/>
              </w:rPr>
              <w:t>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1.778.910.699,83</w:t>
            </w:r>
          </w:p>
        </w:tc>
      </w:tr>
      <w:tr w:rsidR="00DD4C65" w:rsidRPr="00FB15A6" w:rsidTr="0024060B">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ind w:right="-108"/>
              <w:jc w:val="both"/>
              <w:rPr>
                <w:rFonts w:ascii="Arial" w:hAnsi="Arial" w:cs="Arial"/>
                <w:sz w:val="18"/>
                <w:szCs w:val="18"/>
              </w:rPr>
            </w:pPr>
            <w:r w:rsidRPr="00FB15A6">
              <w:rPr>
                <w:rFonts w:ascii="Arial" w:hAnsi="Arial" w:cs="Arial"/>
                <w:sz w:val="18"/>
                <w:szCs w:val="18"/>
              </w:rPr>
              <w:t>Excédent de recettes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2.124.051,49</w:t>
            </w:r>
          </w:p>
        </w:tc>
      </w:tr>
      <w:tr w:rsidR="00DD4C65" w:rsidRPr="00FB15A6" w:rsidTr="0024060B">
        <w:trPr>
          <w:cantSplit/>
          <w:trHeight w:val="397"/>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Report du solde des recettes et dépenses pour ordre</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13.736.439,63</w:t>
            </w:r>
          </w:p>
        </w:tc>
      </w:tr>
    </w:tbl>
    <w:p w:rsidR="00DD4C65" w:rsidRPr="00FB15A6" w:rsidRDefault="00DD4C65" w:rsidP="00DD4C65">
      <w:pPr>
        <w:pStyle w:val="1texte0"/>
        <w:spacing w:line="276" w:lineRule="auto"/>
        <w:ind w:left="0" w:firstLine="0"/>
        <w:rPr>
          <w:rFonts w:ascii="Arial" w:hAnsi="Arial" w:cs="Arial"/>
          <w:sz w:val="18"/>
          <w:szCs w:val="18"/>
          <w:lang w:val="fr-LU"/>
        </w:rPr>
      </w:pPr>
    </w:p>
    <w:tbl>
      <w:tblPr>
        <w:tblW w:w="7938" w:type="dxa"/>
        <w:tblInd w:w="1304" w:type="dxa"/>
        <w:tblLayout w:type="fixed"/>
        <w:tblCellMar>
          <w:left w:w="0" w:type="dxa"/>
          <w:right w:w="0" w:type="dxa"/>
        </w:tblCellMar>
        <w:tblLook w:val="0000" w:firstRow="0" w:lastRow="0" w:firstColumn="0" w:lastColumn="0" w:noHBand="0" w:noVBand="0"/>
      </w:tblPr>
      <w:tblGrid>
        <w:gridCol w:w="567"/>
        <w:gridCol w:w="5608"/>
        <w:gridCol w:w="1763"/>
      </w:tblGrid>
      <w:tr w:rsidR="00DD4C65" w:rsidRPr="00FB15A6" w:rsidTr="0024060B">
        <w:trPr>
          <w:cantSplit/>
          <w:trHeight w:val="397"/>
        </w:trPr>
        <w:tc>
          <w:tcPr>
            <w:tcW w:w="7938" w:type="dxa"/>
            <w:gridSpan w:val="3"/>
            <w:tcBorders>
              <w:top w:val="nil"/>
              <w:left w:val="nil"/>
              <w:right w:val="nil"/>
            </w:tcBorders>
            <w:tcMar>
              <w:top w:w="0" w:type="dxa"/>
              <w:left w:w="108" w:type="dxa"/>
              <w:bottom w:w="0" w:type="dxa"/>
              <w:right w:w="108" w:type="dxa"/>
            </w:tcMar>
            <w:vAlign w:val="center"/>
          </w:tcPr>
          <w:p w:rsidR="00DD4C65" w:rsidRPr="00FB15A6" w:rsidRDefault="00DD4C65" w:rsidP="0024060B">
            <w:pPr>
              <w:spacing w:before="120" w:after="240" w:line="276" w:lineRule="auto"/>
              <w:ind w:right="34"/>
              <w:jc w:val="center"/>
              <w:rPr>
                <w:rFonts w:ascii="Arial" w:hAnsi="Arial" w:cs="Arial"/>
                <w:sz w:val="18"/>
                <w:szCs w:val="18"/>
              </w:rPr>
            </w:pPr>
            <w:r w:rsidRPr="00FB15A6">
              <w:rPr>
                <w:rFonts w:ascii="Arial" w:hAnsi="Arial" w:cs="Arial"/>
                <w:b/>
                <w:bCs/>
                <w:sz w:val="18"/>
                <w:szCs w:val="18"/>
              </w:rPr>
              <w:t>C. Recettes et dépenses des fonds déposés à la Trésorerie de l’Etat</w:t>
            </w:r>
          </w:p>
        </w:tc>
      </w:tr>
      <w:tr w:rsidR="00DD4C65" w:rsidRPr="00FB15A6" w:rsidTr="0024060B">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line="276" w:lineRule="auto"/>
              <w:jc w:val="both"/>
              <w:rPr>
                <w:rFonts w:ascii="Arial" w:hAnsi="Arial" w:cs="Arial"/>
                <w:sz w:val="18"/>
                <w:szCs w:val="18"/>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Report du solde des recettes et dépenses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3.238.150.358,37</w:t>
            </w:r>
          </w:p>
        </w:tc>
      </w:tr>
      <w:tr w:rsidR="00DD4C65" w:rsidRPr="00FB15A6" w:rsidTr="0024060B">
        <w:trPr>
          <w:cantSplit/>
          <w:trHeight w:val="397"/>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Recettes</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 xml:space="preserve">5.904.407.449,62 </w:t>
            </w:r>
          </w:p>
        </w:tc>
      </w:tr>
      <w:tr w:rsidR="00DD4C65" w:rsidRPr="00FB15A6" w:rsidTr="0024060B">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 xml:space="preserve">Dépenses </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5.992.809.280,47</w:t>
            </w:r>
          </w:p>
        </w:tc>
      </w:tr>
      <w:tr w:rsidR="00DD4C65" w:rsidRPr="00FB15A6" w:rsidTr="0024060B">
        <w:trPr>
          <w:cantSplit/>
          <w:trHeight w:val="397"/>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Excédent de dépenses</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88.401.830,85</w:t>
            </w:r>
          </w:p>
        </w:tc>
      </w:tr>
      <w:tr w:rsidR="00DD4C65" w:rsidRPr="00FB15A6" w:rsidTr="0024060B">
        <w:trPr>
          <w:cantSplit/>
          <w:trHeight w:val="397"/>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right"/>
              <w:rPr>
                <w:rFonts w:ascii="Arial" w:hAnsi="Arial" w:cs="Arial"/>
                <w:sz w:val="18"/>
                <w:szCs w:val="18"/>
              </w:rPr>
            </w:pPr>
            <w:r w:rsidRPr="00FB15A6">
              <w:rPr>
                <w:rFonts w:ascii="Arial" w:hAnsi="Arial" w:cs="Arial"/>
                <w:sz w:val="18"/>
                <w:szCs w:val="18"/>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DD4C65" w:rsidRPr="00FB15A6" w:rsidRDefault="00DD4C65" w:rsidP="0024060B">
            <w:pPr>
              <w:spacing w:before="60" w:after="60" w:line="276" w:lineRule="auto"/>
              <w:jc w:val="both"/>
              <w:rPr>
                <w:rFonts w:ascii="Arial" w:hAnsi="Arial" w:cs="Arial"/>
                <w:sz w:val="18"/>
                <w:szCs w:val="18"/>
              </w:rPr>
            </w:pPr>
            <w:r w:rsidRPr="00FB15A6">
              <w:rPr>
                <w:rFonts w:ascii="Arial" w:hAnsi="Arial" w:cs="Arial"/>
                <w:sz w:val="18"/>
                <w:szCs w:val="18"/>
              </w:rPr>
              <w:t>Report du solde des recettes et dépenses</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tcPr>
          <w:p w:rsidR="00DD4C65" w:rsidRPr="00FB15A6" w:rsidRDefault="00DD4C65" w:rsidP="0024060B">
            <w:pPr>
              <w:spacing w:line="276" w:lineRule="auto"/>
              <w:jc w:val="right"/>
              <w:rPr>
                <w:rFonts w:ascii="Arial" w:hAnsi="Arial" w:cs="Arial"/>
                <w:sz w:val="18"/>
                <w:szCs w:val="18"/>
              </w:rPr>
            </w:pPr>
            <w:r w:rsidRPr="00FB15A6">
              <w:rPr>
                <w:rFonts w:ascii="Arial" w:hAnsi="Arial" w:cs="Arial"/>
                <w:sz w:val="18"/>
                <w:szCs w:val="18"/>
              </w:rPr>
              <w:t>3.149.748.527,52</w:t>
            </w:r>
          </w:p>
        </w:tc>
      </w:tr>
    </w:tbl>
    <w:p w:rsidR="00DD4C65" w:rsidRPr="00FB15A6" w:rsidRDefault="00DD4C65" w:rsidP="00DD4C65">
      <w:pPr>
        <w:pStyle w:val="1TEXTE"/>
        <w:spacing w:after="0" w:line="276" w:lineRule="auto"/>
        <w:ind w:left="0" w:firstLine="0"/>
        <w:rPr>
          <w:rFonts w:ascii="Arial" w:hAnsi="Arial" w:cs="Arial"/>
          <w:sz w:val="18"/>
          <w:szCs w:val="18"/>
          <w:lang w:val="fr-LU"/>
        </w:rPr>
      </w:pPr>
      <w:r w:rsidRPr="00FB15A6">
        <w:rPr>
          <w:rFonts w:ascii="Arial" w:hAnsi="Arial" w:cs="Arial"/>
          <w:sz w:val="18"/>
          <w:szCs w:val="18"/>
          <w:lang w:val="fr-LU"/>
        </w:rPr>
        <w:t>Source : Rapport général de la Cour des comptes (doc. parl. 7676-2)</w:t>
      </w:r>
    </w:p>
    <w:p w:rsidR="00DD4C65" w:rsidRPr="00DD4C65" w:rsidRDefault="00DD4C65" w:rsidP="00DD4C65">
      <w:pPr>
        <w:pStyle w:val="1TEXTE"/>
        <w:spacing w:after="0" w:line="276" w:lineRule="auto"/>
        <w:ind w:left="0" w:firstLine="0"/>
        <w:rPr>
          <w:rFonts w:ascii="Arial" w:hAnsi="Arial" w:cs="Arial"/>
          <w:sz w:val="22"/>
          <w:szCs w:val="22"/>
          <w:lang w:val="fr-LU"/>
        </w:rPr>
      </w:pPr>
      <w:r w:rsidRPr="00DD4C65">
        <w:rPr>
          <w:rFonts w:ascii="Arial" w:hAnsi="Arial" w:cs="Arial"/>
          <w:sz w:val="22"/>
          <w:szCs w:val="22"/>
          <w:lang w:val="fr-LU"/>
        </w:rPr>
        <w:br w:type="page"/>
      </w:r>
    </w:p>
    <w:p w:rsidR="00DD4C65" w:rsidRPr="00DD4C65" w:rsidRDefault="00DD4C65" w:rsidP="00DD4C65">
      <w:pPr>
        <w:pStyle w:val="Default"/>
        <w:spacing w:line="276" w:lineRule="auto"/>
        <w:jc w:val="center"/>
        <w:rPr>
          <w:rFonts w:ascii="Arial" w:hAnsi="Arial" w:cs="Arial"/>
          <w:color w:val="auto"/>
          <w:sz w:val="22"/>
          <w:szCs w:val="22"/>
        </w:rPr>
      </w:pPr>
      <w:r w:rsidRPr="00DD4C65">
        <w:rPr>
          <w:rFonts w:ascii="Arial" w:hAnsi="Arial" w:cs="Arial"/>
          <w:color w:val="auto"/>
          <w:sz w:val="22"/>
          <w:szCs w:val="22"/>
        </w:rPr>
        <w:t>Situation globale de l’exécution du budget 2019</w:t>
      </w:r>
    </w:p>
    <w:p w:rsidR="00DD4C65" w:rsidRPr="00DD4C65" w:rsidRDefault="00DD4C65" w:rsidP="00DD4C65">
      <w:pPr>
        <w:pStyle w:val="Default"/>
        <w:spacing w:line="276" w:lineRule="auto"/>
        <w:jc w:val="both"/>
        <w:rPr>
          <w:rFonts w:ascii="Arial" w:hAnsi="Arial" w:cs="Arial"/>
          <w:color w:val="auto"/>
          <w:sz w:val="22"/>
          <w:szCs w:val="22"/>
        </w:rPr>
      </w:pPr>
    </w:p>
    <w:p w:rsidR="00DD4C65" w:rsidRPr="00DD4C65" w:rsidRDefault="00DD4C65" w:rsidP="00DD4C65">
      <w:pPr>
        <w:pStyle w:val="Default"/>
        <w:spacing w:line="276" w:lineRule="auto"/>
        <w:rPr>
          <w:rFonts w:ascii="Arial" w:hAnsi="Arial" w:cs="Arial"/>
          <w:color w:val="auto"/>
          <w:sz w:val="22"/>
          <w:szCs w:val="22"/>
        </w:rPr>
      </w:pPr>
      <w:r w:rsidRPr="00DD4C65">
        <w:rPr>
          <w:rFonts w:ascii="Arial" w:hAnsi="Arial" w:cs="Arial"/>
          <w:color w:val="auto"/>
          <w:sz w:val="22"/>
          <w:szCs w:val="22"/>
        </w:rPr>
        <w:t>Par rapport au budget voté de l’Etat de l’exercice 2019, tel qu’il fut arrêté par la loi du 26 avril 2019, les variations des recettes et dépenses enregistrées au compte général de l’Etat de l’exercice 2019, peuvent être résumées comme suit :</w:t>
      </w:r>
    </w:p>
    <w:p w:rsidR="009E6241" w:rsidRDefault="009E6241" w:rsidP="00DD4C65">
      <w:pPr>
        <w:pStyle w:val="1TEXTE"/>
        <w:spacing w:after="0" w:line="276" w:lineRule="auto"/>
        <w:ind w:left="0" w:firstLine="0"/>
        <w:rPr>
          <w:rFonts w:ascii="Arial" w:hAnsi="Arial" w:cs="Arial"/>
          <w:sz w:val="22"/>
          <w:szCs w:val="22"/>
          <w:lang w:val="fr-LU"/>
        </w:rPr>
      </w:pPr>
    </w:p>
    <w:p w:rsidR="00DD4C65" w:rsidRPr="00DD4C65" w:rsidRDefault="00DD4C65" w:rsidP="00DD4C65">
      <w:pPr>
        <w:pStyle w:val="1TEXTE"/>
        <w:spacing w:after="0" w:line="276" w:lineRule="auto"/>
        <w:ind w:left="0" w:firstLine="0"/>
        <w:rPr>
          <w:rFonts w:ascii="Arial" w:hAnsi="Arial" w:cs="Arial"/>
          <w:sz w:val="22"/>
          <w:szCs w:val="22"/>
          <w:lang w:val="fr-LU"/>
        </w:rPr>
      </w:pPr>
      <w:r w:rsidRPr="00DD4C65">
        <w:rPr>
          <w:rFonts w:ascii="Arial" w:hAnsi="Arial" w:cs="Arial"/>
          <w:sz w:val="22"/>
          <w:szCs w:val="22"/>
          <w:lang w:val="fr-LU"/>
        </w:rPr>
        <w:t>Le compte général de l’exercice 2019 affiche un excédent de recettes de 1.272,91 millions d’euros, alors que le budget voté a tablé sur un excédent de dépenses de 1.061,79 millions d’euros. Il s’agit d’une différence de 2.334,70 millions d’euros.</w:t>
      </w:r>
    </w:p>
    <w:p w:rsidR="00DD4C65" w:rsidRPr="00DD4C65" w:rsidRDefault="00DD4C65" w:rsidP="00DD4C65">
      <w:pPr>
        <w:pStyle w:val="1TEXTE"/>
        <w:spacing w:after="0" w:line="276" w:lineRule="auto"/>
        <w:ind w:left="0" w:firstLine="0"/>
        <w:rPr>
          <w:rFonts w:ascii="Arial" w:hAnsi="Arial" w:cs="Arial"/>
          <w:sz w:val="22"/>
          <w:szCs w:val="22"/>
          <w:lang w:val="fr-LU"/>
        </w:rPr>
      </w:pPr>
    </w:p>
    <w:p w:rsidR="00DD4C65" w:rsidRPr="00DD4C65" w:rsidRDefault="00DD4C65" w:rsidP="00DD4C65">
      <w:pPr>
        <w:pStyle w:val="1TEXTE"/>
        <w:spacing w:line="276" w:lineRule="auto"/>
        <w:ind w:left="0" w:firstLine="0"/>
        <w:rPr>
          <w:rFonts w:ascii="Arial" w:hAnsi="Arial" w:cs="Arial"/>
          <w:sz w:val="22"/>
          <w:szCs w:val="22"/>
          <w:lang w:val="fr-LU"/>
        </w:rPr>
      </w:pPr>
      <w:r w:rsidRPr="00DD4C65">
        <w:rPr>
          <w:rFonts w:ascii="Arial" w:hAnsi="Arial" w:cs="Arial"/>
          <w:sz w:val="22"/>
          <w:szCs w:val="22"/>
          <w:lang w:val="fr-LU"/>
        </w:rPr>
        <w:t xml:space="preserve">Cette différence significative s’explique avant tout par les variations importantes des recettes pour opérations financières. </w:t>
      </w:r>
    </w:p>
    <w:p w:rsidR="00DD4C65" w:rsidRPr="00DD4C65" w:rsidRDefault="00DD4C65" w:rsidP="00DD4C65">
      <w:pPr>
        <w:pStyle w:val="1TEXTE"/>
        <w:spacing w:after="0" w:line="276" w:lineRule="auto"/>
        <w:ind w:left="0" w:firstLine="0"/>
        <w:rPr>
          <w:rFonts w:ascii="Arial" w:hAnsi="Arial" w:cs="Arial"/>
          <w:sz w:val="22"/>
          <w:szCs w:val="22"/>
          <w:lang w:val="fr-LU"/>
        </w:rPr>
      </w:pPr>
      <w:r w:rsidRPr="00DD4C65">
        <w:rPr>
          <w:rFonts w:ascii="Arial" w:hAnsi="Arial" w:cs="Arial"/>
          <w:sz w:val="22"/>
          <w:szCs w:val="22"/>
          <w:lang w:val="fr-LU"/>
        </w:rPr>
        <w:t>Le tableau ci-dessous présente l’exécution du budget de l’exercice 2019 en faisant abstraction des opérations financières.</w:t>
      </w:r>
    </w:p>
    <w:p w:rsidR="00DD4C65" w:rsidRPr="00DD4C65" w:rsidRDefault="00DD4C65" w:rsidP="00DD4C65">
      <w:pPr>
        <w:pStyle w:val="1TEXTE"/>
        <w:spacing w:after="0" w:line="276" w:lineRule="auto"/>
        <w:ind w:left="0" w:firstLine="0"/>
        <w:rPr>
          <w:rFonts w:ascii="Arial" w:hAnsi="Arial" w:cs="Arial"/>
          <w:sz w:val="22"/>
          <w:szCs w:val="22"/>
          <w:lang w:val="fr-LU"/>
        </w:rPr>
      </w:pPr>
    </w:p>
    <w:p w:rsidR="00DD4C65" w:rsidRPr="00DD4C65" w:rsidRDefault="00DD4C65" w:rsidP="00DD4C65">
      <w:pPr>
        <w:pStyle w:val="1TitreTableaugrand"/>
        <w:spacing w:after="360" w:line="276" w:lineRule="auto"/>
        <w:rPr>
          <w:rFonts w:ascii="Arial" w:hAnsi="Arial" w:cs="Arial"/>
          <w:lang w:val="fr-LU"/>
        </w:rPr>
      </w:pPr>
      <w:r w:rsidRPr="00DD4C65">
        <w:rPr>
          <w:rFonts w:ascii="Arial" w:hAnsi="Arial" w:cs="Arial"/>
          <w:lang w:val="fr-LU"/>
        </w:rPr>
        <w:t xml:space="preserve">Tableau </w:t>
      </w:r>
      <w:r w:rsidRPr="00DD4C65">
        <w:rPr>
          <w:rFonts w:ascii="Arial" w:hAnsi="Arial" w:cs="Arial"/>
          <w:lang w:val="fr-LU"/>
        </w:rPr>
        <w:fldChar w:fldCharType="begin"/>
      </w:r>
      <w:r w:rsidRPr="00DD4C65">
        <w:rPr>
          <w:rFonts w:ascii="Arial" w:hAnsi="Arial" w:cs="Arial"/>
          <w:lang w:val="fr-LU"/>
        </w:rPr>
        <w:instrText xml:space="preserve"> AUTONUMLGL  \* Arabic \e </w:instrText>
      </w:r>
      <w:r w:rsidRPr="00DD4C65">
        <w:rPr>
          <w:rFonts w:ascii="Arial" w:hAnsi="Arial" w:cs="Arial"/>
          <w:lang w:val="fr-LU"/>
        </w:rPr>
        <w:fldChar w:fldCharType="end"/>
      </w:r>
      <w:r w:rsidRPr="00DD4C65">
        <w:rPr>
          <w:rFonts w:ascii="Arial" w:hAnsi="Arial" w:cs="Arial"/>
          <w:lang w:val="fr-LU"/>
        </w:rPr>
        <w:t> : Budget et compte 2019 (hors opérations financières)</w:t>
      </w:r>
    </w:p>
    <w:tbl>
      <w:tblPr>
        <w:tblW w:w="8505" w:type="dxa"/>
        <w:tblInd w:w="567"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9"/>
        <w:gridCol w:w="1790"/>
        <w:gridCol w:w="1790"/>
        <w:gridCol w:w="1809"/>
        <w:gridCol w:w="927"/>
      </w:tblGrid>
      <w:tr w:rsidR="00DD4C65" w:rsidRPr="00DD4C65" w:rsidTr="0024060B">
        <w:trPr>
          <w:cantSplit/>
          <w:trHeight w:val="20"/>
        </w:trPr>
        <w:tc>
          <w:tcPr>
            <w:tcW w:w="2127" w:type="dxa"/>
            <w:vMerge w:val="restart"/>
            <w:tcMar>
              <w:top w:w="0" w:type="dxa"/>
              <w:left w:w="108" w:type="dxa"/>
              <w:bottom w:w="0" w:type="dxa"/>
              <w:right w:w="108" w:type="dxa"/>
            </w:tcMar>
            <w:vAlign w:val="center"/>
          </w:tcPr>
          <w:p w:rsidR="00DD4C65" w:rsidRPr="009E6241" w:rsidRDefault="00DD4C65" w:rsidP="0024060B">
            <w:pPr>
              <w:spacing w:after="60" w:line="276" w:lineRule="auto"/>
              <w:rPr>
                <w:rFonts w:ascii="Arial" w:hAnsi="Arial" w:cs="Arial"/>
                <w:sz w:val="18"/>
                <w:szCs w:val="18"/>
              </w:rPr>
            </w:pPr>
          </w:p>
        </w:tc>
        <w:tc>
          <w:tcPr>
            <w:tcW w:w="1740" w:type="dxa"/>
            <w:vMerge w:val="restart"/>
            <w:tcMar>
              <w:top w:w="0" w:type="dxa"/>
              <w:left w:w="108" w:type="dxa"/>
              <w:bottom w:w="0" w:type="dxa"/>
              <w:right w:w="108" w:type="dxa"/>
            </w:tcMar>
            <w:vAlign w:val="center"/>
          </w:tcPr>
          <w:p w:rsidR="00DD4C65" w:rsidRPr="009E6241" w:rsidRDefault="00DD4C65" w:rsidP="0024060B">
            <w:pPr>
              <w:spacing w:before="60" w:after="60" w:line="276" w:lineRule="auto"/>
              <w:jc w:val="center"/>
              <w:rPr>
                <w:rFonts w:ascii="Arial" w:hAnsi="Arial" w:cs="Arial"/>
                <w:sz w:val="18"/>
                <w:szCs w:val="18"/>
              </w:rPr>
            </w:pPr>
            <w:r w:rsidRPr="009E6241">
              <w:rPr>
                <w:rFonts w:ascii="Arial" w:hAnsi="Arial" w:cs="Arial"/>
                <w:b/>
                <w:bCs/>
                <w:sz w:val="18"/>
                <w:szCs w:val="18"/>
              </w:rPr>
              <w:t>Budget voté</w:t>
            </w:r>
            <w:r w:rsidRPr="009E6241">
              <w:rPr>
                <w:rFonts w:ascii="Arial" w:hAnsi="Arial" w:cs="Arial"/>
                <w:b/>
                <w:bCs/>
                <w:sz w:val="18"/>
                <w:szCs w:val="18"/>
              </w:rPr>
              <w:br/>
              <w:t>2019</w:t>
            </w:r>
          </w:p>
        </w:tc>
        <w:tc>
          <w:tcPr>
            <w:tcW w:w="1740" w:type="dxa"/>
            <w:vMerge w:val="restart"/>
            <w:tcMar>
              <w:top w:w="0" w:type="dxa"/>
              <w:left w:w="108" w:type="dxa"/>
              <w:bottom w:w="0" w:type="dxa"/>
              <w:right w:w="108" w:type="dxa"/>
            </w:tcMar>
            <w:vAlign w:val="center"/>
          </w:tcPr>
          <w:p w:rsidR="00DD4C65" w:rsidRPr="009E6241" w:rsidRDefault="00DD4C65" w:rsidP="0024060B">
            <w:pPr>
              <w:spacing w:before="60" w:after="60" w:line="276" w:lineRule="auto"/>
              <w:jc w:val="center"/>
              <w:rPr>
                <w:rFonts w:ascii="Arial" w:hAnsi="Arial" w:cs="Arial"/>
                <w:sz w:val="18"/>
                <w:szCs w:val="18"/>
              </w:rPr>
            </w:pPr>
            <w:r w:rsidRPr="009E6241">
              <w:rPr>
                <w:rFonts w:ascii="Arial" w:hAnsi="Arial" w:cs="Arial"/>
                <w:b/>
                <w:bCs/>
                <w:sz w:val="18"/>
                <w:szCs w:val="18"/>
              </w:rPr>
              <w:t>Compte général</w:t>
            </w:r>
            <w:r w:rsidRPr="009E6241">
              <w:rPr>
                <w:rFonts w:ascii="Arial" w:hAnsi="Arial" w:cs="Arial"/>
                <w:b/>
                <w:bCs/>
                <w:sz w:val="18"/>
                <w:szCs w:val="18"/>
              </w:rPr>
              <w:br/>
              <w:t>2019</w:t>
            </w:r>
          </w:p>
        </w:tc>
        <w:tc>
          <w:tcPr>
            <w:tcW w:w="1758" w:type="dxa"/>
            <w:gridSpan w:val="2"/>
            <w:tcMar>
              <w:top w:w="0" w:type="dxa"/>
              <w:left w:w="108" w:type="dxa"/>
              <w:bottom w:w="0" w:type="dxa"/>
              <w:right w:w="108" w:type="dxa"/>
            </w:tcMar>
            <w:vAlign w:val="center"/>
          </w:tcPr>
          <w:p w:rsidR="00DD4C65" w:rsidRPr="009E6241" w:rsidRDefault="00DD4C65" w:rsidP="0024060B">
            <w:pPr>
              <w:spacing w:before="120" w:after="120" w:line="276" w:lineRule="auto"/>
              <w:ind w:left="62"/>
              <w:jc w:val="center"/>
              <w:rPr>
                <w:rFonts w:ascii="Arial" w:hAnsi="Arial" w:cs="Arial"/>
                <w:sz w:val="18"/>
                <w:szCs w:val="18"/>
              </w:rPr>
            </w:pPr>
            <w:r w:rsidRPr="009E6241">
              <w:rPr>
                <w:rFonts w:ascii="Arial" w:hAnsi="Arial" w:cs="Arial"/>
                <w:b/>
                <w:bCs/>
                <w:sz w:val="18"/>
                <w:szCs w:val="18"/>
              </w:rPr>
              <w:t>Variation</w:t>
            </w:r>
          </w:p>
        </w:tc>
      </w:tr>
      <w:tr w:rsidR="00DD4C65" w:rsidRPr="00DD4C65" w:rsidTr="0024060B">
        <w:trPr>
          <w:cantSplit/>
          <w:trHeight w:val="20"/>
        </w:trPr>
        <w:tc>
          <w:tcPr>
            <w:tcW w:w="2127" w:type="dxa"/>
            <w:vMerge/>
            <w:tcMar>
              <w:top w:w="0" w:type="dxa"/>
              <w:left w:w="108" w:type="dxa"/>
              <w:bottom w:w="0" w:type="dxa"/>
              <w:right w:w="108" w:type="dxa"/>
            </w:tcMar>
            <w:vAlign w:val="center"/>
          </w:tcPr>
          <w:p w:rsidR="00DD4C65" w:rsidRPr="009E6241" w:rsidRDefault="00DD4C65" w:rsidP="0024060B">
            <w:pPr>
              <w:spacing w:after="60" w:line="276" w:lineRule="auto"/>
              <w:rPr>
                <w:rFonts w:ascii="Arial" w:hAnsi="Arial" w:cs="Arial"/>
                <w:b/>
                <w:bCs/>
                <w:sz w:val="18"/>
                <w:szCs w:val="18"/>
              </w:rPr>
            </w:pPr>
          </w:p>
        </w:tc>
        <w:tc>
          <w:tcPr>
            <w:tcW w:w="1740" w:type="dxa"/>
            <w:vMerge/>
            <w:tcMar>
              <w:top w:w="0" w:type="dxa"/>
              <w:left w:w="108" w:type="dxa"/>
              <w:bottom w:w="0" w:type="dxa"/>
              <w:right w:w="108" w:type="dxa"/>
            </w:tcMar>
            <w:vAlign w:val="center"/>
          </w:tcPr>
          <w:p w:rsidR="00DD4C65" w:rsidRPr="009E6241" w:rsidRDefault="00DD4C65" w:rsidP="0024060B">
            <w:pPr>
              <w:spacing w:before="60" w:after="60" w:line="276" w:lineRule="auto"/>
              <w:jc w:val="center"/>
              <w:rPr>
                <w:rFonts w:ascii="Arial" w:hAnsi="Arial" w:cs="Arial"/>
                <w:b/>
                <w:bCs/>
                <w:sz w:val="18"/>
                <w:szCs w:val="18"/>
              </w:rPr>
            </w:pPr>
          </w:p>
        </w:tc>
        <w:tc>
          <w:tcPr>
            <w:tcW w:w="1740" w:type="dxa"/>
            <w:vMerge/>
            <w:tcMar>
              <w:top w:w="0" w:type="dxa"/>
              <w:left w:w="108" w:type="dxa"/>
              <w:bottom w:w="0" w:type="dxa"/>
              <w:right w:w="108" w:type="dxa"/>
            </w:tcMar>
            <w:vAlign w:val="center"/>
          </w:tcPr>
          <w:p w:rsidR="00DD4C65" w:rsidRPr="009E6241" w:rsidRDefault="00DD4C65" w:rsidP="0024060B">
            <w:pPr>
              <w:spacing w:before="60" w:after="60" w:line="276" w:lineRule="auto"/>
              <w:jc w:val="center"/>
              <w:rPr>
                <w:rFonts w:ascii="Arial" w:hAnsi="Arial" w:cs="Arial"/>
                <w:b/>
                <w:bCs/>
                <w:sz w:val="18"/>
                <w:szCs w:val="18"/>
              </w:rPr>
            </w:pPr>
          </w:p>
        </w:tc>
        <w:tc>
          <w:tcPr>
            <w:tcW w:w="1758" w:type="dxa"/>
            <w:tcMar>
              <w:top w:w="0" w:type="dxa"/>
              <w:left w:w="108" w:type="dxa"/>
              <w:bottom w:w="0" w:type="dxa"/>
              <w:right w:w="108" w:type="dxa"/>
            </w:tcMar>
            <w:vAlign w:val="center"/>
          </w:tcPr>
          <w:p w:rsidR="00DD4C65" w:rsidRPr="009E6241" w:rsidRDefault="00DD4C65" w:rsidP="0024060B">
            <w:pPr>
              <w:spacing w:before="120" w:after="120" w:line="276" w:lineRule="auto"/>
              <w:ind w:left="62"/>
              <w:jc w:val="center"/>
              <w:rPr>
                <w:rFonts w:ascii="Arial" w:hAnsi="Arial" w:cs="Arial"/>
                <w:b/>
                <w:bCs/>
                <w:sz w:val="18"/>
                <w:szCs w:val="18"/>
              </w:rPr>
            </w:pPr>
            <w:r w:rsidRPr="009E6241">
              <w:rPr>
                <w:rFonts w:ascii="Arial" w:hAnsi="Arial" w:cs="Arial"/>
                <w:b/>
                <w:bCs/>
                <w:sz w:val="18"/>
                <w:szCs w:val="18"/>
              </w:rPr>
              <w:t>en valeur</w:t>
            </w:r>
          </w:p>
        </w:tc>
        <w:tc>
          <w:tcPr>
            <w:tcW w:w="901" w:type="dxa"/>
            <w:vAlign w:val="center"/>
          </w:tcPr>
          <w:p w:rsidR="00DD4C65" w:rsidRPr="009E6241" w:rsidRDefault="00DD4C65" w:rsidP="0024060B">
            <w:pPr>
              <w:spacing w:before="120" w:after="120" w:line="276" w:lineRule="auto"/>
              <w:ind w:left="62"/>
              <w:jc w:val="center"/>
              <w:rPr>
                <w:rFonts w:ascii="Arial" w:hAnsi="Arial" w:cs="Arial"/>
                <w:b/>
                <w:bCs/>
                <w:sz w:val="18"/>
                <w:szCs w:val="18"/>
              </w:rPr>
            </w:pPr>
            <w:r w:rsidRPr="009E6241">
              <w:rPr>
                <w:rFonts w:ascii="Arial" w:hAnsi="Arial" w:cs="Arial"/>
                <w:b/>
                <w:bCs/>
                <w:sz w:val="18"/>
                <w:szCs w:val="18"/>
              </w:rPr>
              <w:t>en %</w:t>
            </w:r>
          </w:p>
        </w:tc>
      </w:tr>
      <w:tr w:rsidR="00DD4C65" w:rsidRPr="00DD4C65" w:rsidTr="0024060B">
        <w:trPr>
          <w:cantSplit/>
          <w:trHeight w:val="20"/>
        </w:trPr>
        <w:tc>
          <w:tcPr>
            <w:tcW w:w="2127" w:type="dxa"/>
            <w:tcMar>
              <w:top w:w="0" w:type="dxa"/>
              <w:left w:w="108" w:type="dxa"/>
              <w:bottom w:w="0" w:type="dxa"/>
              <w:right w:w="108" w:type="dxa"/>
            </w:tcMar>
          </w:tcPr>
          <w:p w:rsidR="00DD4C65" w:rsidRPr="009E6241" w:rsidRDefault="00DD4C65" w:rsidP="0024060B">
            <w:pPr>
              <w:spacing w:before="60" w:after="60" w:line="276" w:lineRule="auto"/>
              <w:rPr>
                <w:rFonts w:ascii="Arial" w:hAnsi="Arial" w:cs="Arial"/>
                <w:sz w:val="18"/>
                <w:szCs w:val="18"/>
              </w:rPr>
            </w:pPr>
            <w:r w:rsidRPr="009E6241">
              <w:rPr>
                <w:rFonts w:ascii="Arial" w:hAnsi="Arial" w:cs="Arial"/>
                <w:sz w:val="18"/>
                <w:szCs w:val="18"/>
              </w:rPr>
              <w:t>Recettes</w:t>
            </w:r>
            <w:r w:rsidRPr="009E6241">
              <w:rPr>
                <w:rFonts w:ascii="Arial" w:hAnsi="Arial" w:cs="Arial"/>
                <w:sz w:val="18"/>
                <w:szCs w:val="18"/>
              </w:rPr>
              <w:br/>
              <w:t>- courantes</w:t>
            </w:r>
            <w:r w:rsidRPr="009E6241">
              <w:rPr>
                <w:rFonts w:ascii="Arial" w:hAnsi="Arial" w:cs="Arial"/>
                <w:sz w:val="18"/>
                <w:szCs w:val="18"/>
              </w:rPr>
              <w:br/>
              <w:t>- en capital</w:t>
            </w:r>
          </w:p>
        </w:tc>
        <w:tc>
          <w:tcPr>
            <w:tcW w:w="1740" w:type="dxa"/>
            <w:tcMar>
              <w:top w:w="0" w:type="dxa"/>
              <w:left w:w="108" w:type="dxa"/>
              <w:bottom w:w="0" w:type="dxa"/>
              <w:right w:w="108" w:type="dxa"/>
            </w:tcMar>
          </w:tcPr>
          <w:p w:rsidR="00DD4C65" w:rsidRPr="009E6241" w:rsidRDefault="00DD4C65" w:rsidP="0024060B">
            <w:pPr>
              <w:tabs>
                <w:tab w:val="decimal" w:pos="1452"/>
              </w:tabs>
              <w:spacing w:before="60" w:after="60" w:line="276" w:lineRule="auto"/>
              <w:ind w:left="-198"/>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16.502.714.969,00</w:t>
            </w:r>
            <w:r w:rsidRPr="009E6241">
              <w:rPr>
                <w:rFonts w:ascii="Arial" w:hAnsi="Arial" w:cs="Arial"/>
                <w:sz w:val="18"/>
                <w:szCs w:val="18"/>
              </w:rPr>
              <w:br/>
            </w:r>
            <w:r w:rsidRPr="009E6241">
              <w:rPr>
                <w:rFonts w:ascii="Arial" w:hAnsi="Arial" w:cs="Arial"/>
                <w:sz w:val="18"/>
                <w:szCs w:val="18"/>
                <w:lang w:eastAsia="fr-FR"/>
              </w:rPr>
              <w:t>98.744.600,00</w:t>
            </w:r>
          </w:p>
        </w:tc>
        <w:tc>
          <w:tcPr>
            <w:tcW w:w="1740" w:type="dxa"/>
            <w:tcMar>
              <w:top w:w="0" w:type="dxa"/>
              <w:left w:w="108" w:type="dxa"/>
              <w:bottom w:w="0" w:type="dxa"/>
              <w:right w:w="108" w:type="dxa"/>
            </w:tcMar>
          </w:tcPr>
          <w:p w:rsidR="00DD4C65" w:rsidRPr="009E6241" w:rsidRDefault="00DD4C65" w:rsidP="0024060B">
            <w:pPr>
              <w:tabs>
                <w:tab w:val="decimal" w:pos="1451"/>
              </w:tabs>
              <w:spacing w:before="60" w:after="60" w:line="276" w:lineRule="auto"/>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17.283.912.192,31</w:t>
            </w:r>
            <w:r w:rsidRPr="009E6241">
              <w:rPr>
                <w:rFonts w:ascii="Arial" w:hAnsi="Arial" w:cs="Arial"/>
                <w:sz w:val="18"/>
                <w:szCs w:val="18"/>
              </w:rPr>
              <w:br/>
            </w:r>
            <w:r w:rsidRPr="009E6241">
              <w:rPr>
                <w:rFonts w:ascii="Arial" w:hAnsi="Arial" w:cs="Arial"/>
                <w:sz w:val="18"/>
                <w:szCs w:val="18"/>
                <w:lang w:eastAsia="fr-FR"/>
              </w:rPr>
              <w:t>126.737.546,96</w:t>
            </w:r>
          </w:p>
        </w:tc>
        <w:tc>
          <w:tcPr>
            <w:tcW w:w="1758" w:type="dxa"/>
            <w:tcMar>
              <w:top w:w="0" w:type="dxa"/>
              <w:left w:w="108" w:type="dxa"/>
              <w:bottom w:w="0" w:type="dxa"/>
              <w:right w:w="108" w:type="dxa"/>
            </w:tcMar>
          </w:tcPr>
          <w:p w:rsidR="00DD4C65" w:rsidRPr="009E6241" w:rsidRDefault="00DD4C65" w:rsidP="0024060B">
            <w:pPr>
              <w:tabs>
                <w:tab w:val="decimal" w:pos="1281"/>
              </w:tabs>
              <w:spacing w:before="60" w:after="60" w:line="276" w:lineRule="auto"/>
              <w:ind w:left="-336"/>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781.197.223,31</w:t>
            </w:r>
            <w:r w:rsidRPr="009E6241">
              <w:rPr>
                <w:rFonts w:ascii="Arial" w:hAnsi="Arial" w:cs="Arial"/>
                <w:sz w:val="18"/>
                <w:szCs w:val="18"/>
              </w:rPr>
              <w:br/>
            </w:r>
            <w:r w:rsidRPr="009E6241">
              <w:rPr>
                <w:rFonts w:ascii="Arial" w:hAnsi="Arial" w:cs="Arial"/>
                <w:sz w:val="18"/>
                <w:szCs w:val="18"/>
                <w:lang w:eastAsia="fr-FR"/>
              </w:rPr>
              <w:t>27.992.946,96</w:t>
            </w:r>
          </w:p>
        </w:tc>
        <w:tc>
          <w:tcPr>
            <w:tcW w:w="901" w:type="dxa"/>
            <w:tcMar>
              <w:top w:w="0" w:type="dxa"/>
              <w:left w:w="108" w:type="dxa"/>
              <w:bottom w:w="0" w:type="dxa"/>
              <w:right w:w="108" w:type="dxa"/>
            </w:tcMar>
          </w:tcPr>
          <w:p w:rsidR="00DD4C65" w:rsidRPr="009E6241" w:rsidRDefault="00DD4C65" w:rsidP="0024060B">
            <w:pPr>
              <w:tabs>
                <w:tab w:val="decimal" w:pos="562"/>
              </w:tabs>
              <w:spacing w:before="60" w:after="60" w:line="276" w:lineRule="auto"/>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4,73%</w:t>
            </w:r>
            <w:r w:rsidRPr="009E6241">
              <w:rPr>
                <w:rFonts w:ascii="Arial" w:hAnsi="Arial" w:cs="Arial"/>
                <w:sz w:val="18"/>
                <w:szCs w:val="18"/>
              </w:rPr>
              <w:br/>
            </w:r>
            <w:r w:rsidRPr="009E6241">
              <w:rPr>
                <w:rFonts w:ascii="Arial" w:hAnsi="Arial" w:cs="Arial"/>
                <w:sz w:val="18"/>
                <w:szCs w:val="18"/>
                <w:lang w:eastAsia="fr-FR"/>
              </w:rPr>
              <w:t>28,35%</w:t>
            </w:r>
          </w:p>
        </w:tc>
      </w:tr>
      <w:tr w:rsidR="00DD4C65" w:rsidRPr="00DD4C65" w:rsidTr="0024060B">
        <w:trPr>
          <w:cantSplit/>
          <w:trHeight w:val="20"/>
        </w:trPr>
        <w:tc>
          <w:tcPr>
            <w:tcW w:w="2127" w:type="dxa"/>
            <w:tcMar>
              <w:top w:w="0" w:type="dxa"/>
              <w:left w:w="108" w:type="dxa"/>
              <w:bottom w:w="0" w:type="dxa"/>
              <w:right w:w="108" w:type="dxa"/>
            </w:tcMar>
          </w:tcPr>
          <w:p w:rsidR="00DD4C65" w:rsidRPr="009E6241" w:rsidRDefault="00DD4C65" w:rsidP="0024060B">
            <w:pPr>
              <w:spacing w:before="60" w:after="60" w:line="276" w:lineRule="auto"/>
              <w:rPr>
                <w:rFonts w:ascii="Arial" w:hAnsi="Arial" w:cs="Arial"/>
                <w:sz w:val="18"/>
                <w:szCs w:val="18"/>
              </w:rPr>
            </w:pPr>
            <w:r w:rsidRPr="009E6241">
              <w:rPr>
                <w:rFonts w:ascii="Arial" w:hAnsi="Arial" w:cs="Arial"/>
                <w:sz w:val="18"/>
                <w:szCs w:val="18"/>
              </w:rPr>
              <w:t>Total recettes (1)</w:t>
            </w:r>
          </w:p>
        </w:tc>
        <w:tc>
          <w:tcPr>
            <w:tcW w:w="1740" w:type="dxa"/>
            <w:tcMar>
              <w:top w:w="0" w:type="dxa"/>
              <w:left w:w="108" w:type="dxa"/>
              <w:bottom w:w="0" w:type="dxa"/>
              <w:right w:w="108" w:type="dxa"/>
            </w:tcMar>
          </w:tcPr>
          <w:p w:rsidR="00DD4C65" w:rsidRPr="009E6241" w:rsidRDefault="00DD4C65" w:rsidP="0024060B">
            <w:pPr>
              <w:tabs>
                <w:tab w:val="decimal" w:pos="1452"/>
              </w:tabs>
              <w:spacing w:before="60" w:after="60" w:line="276" w:lineRule="auto"/>
              <w:ind w:left="-198"/>
              <w:jc w:val="right"/>
              <w:rPr>
                <w:rFonts w:ascii="Arial" w:hAnsi="Arial" w:cs="Arial"/>
                <w:sz w:val="18"/>
                <w:szCs w:val="18"/>
              </w:rPr>
            </w:pPr>
            <w:r w:rsidRPr="009E6241">
              <w:rPr>
                <w:rFonts w:ascii="Arial" w:hAnsi="Arial" w:cs="Arial"/>
                <w:sz w:val="18"/>
                <w:szCs w:val="18"/>
                <w:lang w:eastAsia="fr-FR"/>
              </w:rPr>
              <w:t>16.601.459.569,00</w:t>
            </w:r>
          </w:p>
        </w:tc>
        <w:tc>
          <w:tcPr>
            <w:tcW w:w="1740" w:type="dxa"/>
            <w:tcMar>
              <w:top w:w="0" w:type="dxa"/>
              <w:left w:w="108" w:type="dxa"/>
              <w:bottom w:w="0" w:type="dxa"/>
              <w:right w:w="108" w:type="dxa"/>
            </w:tcMar>
          </w:tcPr>
          <w:p w:rsidR="00DD4C65" w:rsidRPr="009E6241" w:rsidRDefault="00DD4C65" w:rsidP="0024060B">
            <w:pPr>
              <w:tabs>
                <w:tab w:val="decimal" w:pos="1451"/>
              </w:tabs>
              <w:spacing w:before="60" w:after="60" w:line="276" w:lineRule="auto"/>
              <w:jc w:val="right"/>
              <w:rPr>
                <w:rFonts w:ascii="Arial" w:hAnsi="Arial" w:cs="Arial"/>
                <w:sz w:val="18"/>
                <w:szCs w:val="18"/>
              </w:rPr>
            </w:pPr>
            <w:r w:rsidRPr="009E6241">
              <w:rPr>
                <w:rFonts w:ascii="Arial" w:hAnsi="Arial" w:cs="Arial"/>
                <w:sz w:val="18"/>
                <w:szCs w:val="18"/>
                <w:lang w:eastAsia="fr-FR"/>
              </w:rPr>
              <w:t>17.410.649.739,27</w:t>
            </w:r>
          </w:p>
        </w:tc>
        <w:tc>
          <w:tcPr>
            <w:tcW w:w="1758" w:type="dxa"/>
            <w:tcMar>
              <w:top w:w="0" w:type="dxa"/>
              <w:left w:w="108" w:type="dxa"/>
              <w:bottom w:w="0" w:type="dxa"/>
              <w:right w:w="108" w:type="dxa"/>
            </w:tcMar>
          </w:tcPr>
          <w:p w:rsidR="00DD4C65" w:rsidRPr="009E6241" w:rsidRDefault="00DD4C65" w:rsidP="0024060B">
            <w:pPr>
              <w:tabs>
                <w:tab w:val="decimal" w:pos="1281"/>
              </w:tabs>
              <w:spacing w:before="60" w:after="60" w:line="276" w:lineRule="auto"/>
              <w:ind w:left="-336"/>
              <w:jc w:val="right"/>
              <w:rPr>
                <w:rFonts w:ascii="Arial" w:hAnsi="Arial" w:cs="Arial"/>
                <w:sz w:val="18"/>
                <w:szCs w:val="18"/>
              </w:rPr>
            </w:pPr>
            <w:r w:rsidRPr="009E6241">
              <w:rPr>
                <w:rFonts w:ascii="Arial" w:hAnsi="Arial" w:cs="Arial"/>
                <w:sz w:val="18"/>
                <w:szCs w:val="18"/>
                <w:lang w:eastAsia="fr-FR"/>
              </w:rPr>
              <w:t>809.190.170,27</w:t>
            </w:r>
          </w:p>
        </w:tc>
        <w:tc>
          <w:tcPr>
            <w:tcW w:w="901" w:type="dxa"/>
            <w:tcMar>
              <w:top w:w="0" w:type="dxa"/>
              <w:left w:w="108" w:type="dxa"/>
              <w:bottom w:w="0" w:type="dxa"/>
              <w:right w:w="108" w:type="dxa"/>
            </w:tcMar>
          </w:tcPr>
          <w:p w:rsidR="00DD4C65" w:rsidRPr="009E6241" w:rsidRDefault="00DD4C65" w:rsidP="0024060B">
            <w:pPr>
              <w:tabs>
                <w:tab w:val="decimal" w:pos="562"/>
              </w:tabs>
              <w:spacing w:before="60" w:after="60" w:line="276" w:lineRule="auto"/>
              <w:jc w:val="right"/>
              <w:rPr>
                <w:rFonts w:ascii="Arial" w:hAnsi="Arial" w:cs="Arial"/>
                <w:sz w:val="18"/>
                <w:szCs w:val="18"/>
              </w:rPr>
            </w:pPr>
            <w:r w:rsidRPr="009E6241">
              <w:rPr>
                <w:rFonts w:ascii="Arial" w:hAnsi="Arial" w:cs="Arial"/>
                <w:sz w:val="18"/>
                <w:szCs w:val="18"/>
                <w:lang w:eastAsia="fr-FR"/>
              </w:rPr>
              <w:t>4,87%</w:t>
            </w:r>
          </w:p>
        </w:tc>
      </w:tr>
      <w:tr w:rsidR="00DD4C65" w:rsidRPr="00DD4C65" w:rsidTr="0024060B">
        <w:trPr>
          <w:cantSplit/>
          <w:trHeight w:val="20"/>
        </w:trPr>
        <w:tc>
          <w:tcPr>
            <w:tcW w:w="2127" w:type="dxa"/>
            <w:tcMar>
              <w:top w:w="0" w:type="dxa"/>
              <w:left w:w="108" w:type="dxa"/>
              <w:bottom w:w="0" w:type="dxa"/>
              <w:right w:w="108" w:type="dxa"/>
            </w:tcMar>
          </w:tcPr>
          <w:p w:rsidR="00DD4C65" w:rsidRPr="009E6241" w:rsidRDefault="00DD4C65" w:rsidP="0024060B">
            <w:pPr>
              <w:spacing w:before="60" w:after="60" w:line="276" w:lineRule="auto"/>
              <w:rPr>
                <w:rFonts w:ascii="Arial" w:hAnsi="Arial" w:cs="Arial"/>
                <w:sz w:val="18"/>
                <w:szCs w:val="18"/>
              </w:rPr>
            </w:pPr>
            <w:r w:rsidRPr="009E6241">
              <w:rPr>
                <w:rFonts w:ascii="Arial" w:hAnsi="Arial" w:cs="Arial"/>
                <w:sz w:val="18"/>
                <w:szCs w:val="18"/>
              </w:rPr>
              <w:t>Dépenses</w:t>
            </w:r>
            <w:r w:rsidRPr="009E6241">
              <w:rPr>
                <w:rFonts w:ascii="Arial" w:hAnsi="Arial" w:cs="Arial"/>
                <w:sz w:val="18"/>
                <w:szCs w:val="18"/>
              </w:rPr>
              <w:br/>
              <w:t>- courantes</w:t>
            </w:r>
            <w:r w:rsidRPr="009E6241">
              <w:rPr>
                <w:rFonts w:ascii="Arial" w:hAnsi="Arial" w:cs="Arial"/>
                <w:sz w:val="18"/>
                <w:szCs w:val="18"/>
              </w:rPr>
              <w:br/>
              <w:t>- en capital</w:t>
            </w:r>
          </w:p>
        </w:tc>
        <w:tc>
          <w:tcPr>
            <w:tcW w:w="1740" w:type="dxa"/>
            <w:tcMar>
              <w:top w:w="0" w:type="dxa"/>
              <w:left w:w="108" w:type="dxa"/>
              <w:bottom w:w="0" w:type="dxa"/>
              <w:right w:w="108" w:type="dxa"/>
            </w:tcMar>
          </w:tcPr>
          <w:p w:rsidR="00DD4C65" w:rsidRPr="009E6241" w:rsidRDefault="00DD4C65" w:rsidP="0024060B">
            <w:pPr>
              <w:tabs>
                <w:tab w:val="decimal" w:pos="1452"/>
              </w:tabs>
              <w:spacing w:before="60" w:after="60" w:line="276" w:lineRule="auto"/>
              <w:ind w:left="-198"/>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15.185.855.439,00</w:t>
            </w:r>
            <w:r w:rsidRPr="009E6241">
              <w:rPr>
                <w:rFonts w:ascii="Arial" w:hAnsi="Arial" w:cs="Arial"/>
                <w:sz w:val="18"/>
                <w:szCs w:val="18"/>
              </w:rPr>
              <w:br/>
            </w:r>
            <w:r w:rsidRPr="009E6241">
              <w:rPr>
                <w:rFonts w:ascii="Arial" w:hAnsi="Arial" w:cs="Arial"/>
                <w:sz w:val="18"/>
                <w:szCs w:val="18"/>
                <w:lang w:eastAsia="fr-FR"/>
              </w:rPr>
              <w:t>2.230.771.130,00</w:t>
            </w:r>
          </w:p>
        </w:tc>
        <w:tc>
          <w:tcPr>
            <w:tcW w:w="1740" w:type="dxa"/>
            <w:tcMar>
              <w:top w:w="0" w:type="dxa"/>
              <w:left w:w="108" w:type="dxa"/>
              <w:bottom w:w="0" w:type="dxa"/>
              <w:right w:w="108" w:type="dxa"/>
            </w:tcMar>
          </w:tcPr>
          <w:p w:rsidR="00DD4C65" w:rsidRPr="009E6241" w:rsidRDefault="00DD4C65" w:rsidP="0024060B">
            <w:pPr>
              <w:tabs>
                <w:tab w:val="decimal" w:pos="1451"/>
              </w:tabs>
              <w:spacing w:before="60" w:after="60" w:line="276" w:lineRule="auto"/>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15.215.574.624,77</w:t>
            </w:r>
            <w:r w:rsidRPr="009E6241">
              <w:rPr>
                <w:rFonts w:ascii="Arial" w:hAnsi="Arial" w:cs="Arial"/>
                <w:sz w:val="18"/>
                <w:szCs w:val="18"/>
              </w:rPr>
              <w:br/>
            </w:r>
            <w:r w:rsidRPr="009E6241">
              <w:rPr>
                <w:rFonts w:ascii="Arial" w:hAnsi="Arial" w:cs="Arial"/>
                <w:sz w:val="18"/>
                <w:szCs w:val="18"/>
                <w:lang w:eastAsia="fr-FR"/>
              </w:rPr>
              <w:t>2.323.908.280,68</w:t>
            </w:r>
          </w:p>
        </w:tc>
        <w:tc>
          <w:tcPr>
            <w:tcW w:w="1758" w:type="dxa"/>
            <w:tcMar>
              <w:top w:w="0" w:type="dxa"/>
              <w:left w:w="108" w:type="dxa"/>
              <w:bottom w:w="0" w:type="dxa"/>
              <w:right w:w="108" w:type="dxa"/>
            </w:tcMar>
          </w:tcPr>
          <w:p w:rsidR="00DD4C65" w:rsidRPr="009E6241" w:rsidRDefault="00DD4C65" w:rsidP="0024060B">
            <w:pPr>
              <w:tabs>
                <w:tab w:val="decimal" w:pos="1281"/>
              </w:tabs>
              <w:spacing w:before="60" w:after="60" w:line="276" w:lineRule="auto"/>
              <w:ind w:left="-336"/>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29.719.185,77</w:t>
            </w:r>
            <w:r w:rsidRPr="009E6241">
              <w:rPr>
                <w:rFonts w:ascii="Arial" w:hAnsi="Arial" w:cs="Arial"/>
                <w:sz w:val="18"/>
                <w:szCs w:val="18"/>
              </w:rPr>
              <w:br/>
            </w:r>
            <w:r w:rsidRPr="009E6241">
              <w:rPr>
                <w:rFonts w:ascii="Arial" w:hAnsi="Arial" w:cs="Arial"/>
                <w:sz w:val="18"/>
                <w:szCs w:val="18"/>
                <w:lang w:eastAsia="fr-FR"/>
              </w:rPr>
              <w:t>93.137.150,68</w:t>
            </w:r>
          </w:p>
        </w:tc>
        <w:tc>
          <w:tcPr>
            <w:tcW w:w="901" w:type="dxa"/>
            <w:tcMar>
              <w:top w:w="0" w:type="dxa"/>
              <w:left w:w="108" w:type="dxa"/>
              <w:bottom w:w="0" w:type="dxa"/>
              <w:right w:w="108" w:type="dxa"/>
            </w:tcMar>
          </w:tcPr>
          <w:p w:rsidR="00DD4C65" w:rsidRPr="009E6241" w:rsidRDefault="00DD4C65" w:rsidP="0024060B">
            <w:pPr>
              <w:tabs>
                <w:tab w:val="decimal" w:pos="562"/>
              </w:tabs>
              <w:spacing w:before="60" w:after="60" w:line="276" w:lineRule="auto"/>
              <w:jc w:val="right"/>
              <w:rPr>
                <w:rFonts w:ascii="Arial" w:hAnsi="Arial" w:cs="Arial"/>
                <w:sz w:val="18"/>
                <w:szCs w:val="18"/>
              </w:rPr>
            </w:pPr>
            <w:r w:rsidRPr="009E6241">
              <w:rPr>
                <w:rFonts w:ascii="Arial" w:hAnsi="Arial" w:cs="Arial"/>
                <w:sz w:val="18"/>
                <w:szCs w:val="18"/>
              </w:rPr>
              <w:br/>
            </w:r>
            <w:r w:rsidRPr="009E6241">
              <w:rPr>
                <w:rFonts w:ascii="Arial" w:hAnsi="Arial" w:cs="Arial"/>
                <w:sz w:val="18"/>
                <w:szCs w:val="18"/>
                <w:lang w:eastAsia="fr-FR"/>
              </w:rPr>
              <w:t>0,20%</w:t>
            </w:r>
            <w:r w:rsidRPr="009E6241">
              <w:rPr>
                <w:rFonts w:ascii="Arial" w:hAnsi="Arial" w:cs="Arial"/>
                <w:sz w:val="18"/>
                <w:szCs w:val="18"/>
              </w:rPr>
              <w:br/>
            </w:r>
            <w:r w:rsidRPr="009E6241">
              <w:rPr>
                <w:rFonts w:ascii="Arial" w:hAnsi="Arial" w:cs="Arial"/>
                <w:sz w:val="18"/>
                <w:szCs w:val="18"/>
                <w:lang w:eastAsia="fr-FR"/>
              </w:rPr>
              <w:t>4,18%</w:t>
            </w:r>
          </w:p>
        </w:tc>
      </w:tr>
      <w:tr w:rsidR="00DD4C65" w:rsidRPr="00DD4C65" w:rsidTr="0024060B">
        <w:trPr>
          <w:cantSplit/>
          <w:trHeight w:val="20"/>
        </w:trPr>
        <w:tc>
          <w:tcPr>
            <w:tcW w:w="2127" w:type="dxa"/>
            <w:tcMar>
              <w:top w:w="0" w:type="dxa"/>
              <w:left w:w="108" w:type="dxa"/>
              <w:bottom w:w="0" w:type="dxa"/>
              <w:right w:w="108" w:type="dxa"/>
            </w:tcMar>
          </w:tcPr>
          <w:p w:rsidR="00DD4C65" w:rsidRPr="009E6241" w:rsidRDefault="00DD4C65" w:rsidP="0024060B">
            <w:pPr>
              <w:spacing w:before="60" w:after="60" w:line="276" w:lineRule="auto"/>
              <w:rPr>
                <w:rFonts w:ascii="Arial" w:hAnsi="Arial" w:cs="Arial"/>
                <w:sz w:val="18"/>
                <w:szCs w:val="18"/>
              </w:rPr>
            </w:pPr>
            <w:r w:rsidRPr="009E6241">
              <w:rPr>
                <w:rFonts w:ascii="Arial" w:hAnsi="Arial" w:cs="Arial"/>
                <w:sz w:val="18"/>
                <w:szCs w:val="18"/>
              </w:rPr>
              <w:t>Total dépenses (2)</w:t>
            </w:r>
          </w:p>
        </w:tc>
        <w:tc>
          <w:tcPr>
            <w:tcW w:w="1740" w:type="dxa"/>
            <w:tcMar>
              <w:top w:w="0" w:type="dxa"/>
              <w:left w:w="108" w:type="dxa"/>
              <w:bottom w:w="0" w:type="dxa"/>
              <w:right w:w="108" w:type="dxa"/>
            </w:tcMar>
          </w:tcPr>
          <w:p w:rsidR="00DD4C65" w:rsidRPr="009E6241" w:rsidRDefault="00DD4C65" w:rsidP="0024060B">
            <w:pPr>
              <w:tabs>
                <w:tab w:val="decimal" w:pos="1452"/>
              </w:tabs>
              <w:spacing w:before="60" w:after="60" w:line="276" w:lineRule="auto"/>
              <w:ind w:left="-198"/>
              <w:jc w:val="right"/>
              <w:rPr>
                <w:rFonts w:ascii="Arial" w:hAnsi="Arial" w:cs="Arial"/>
                <w:sz w:val="18"/>
                <w:szCs w:val="18"/>
              </w:rPr>
            </w:pPr>
            <w:r w:rsidRPr="009E6241">
              <w:rPr>
                <w:rFonts w:ascii="Arial" w:hAnsi="Arial" w:cs="Arial"/>
                <w:sz w:val="18"/>
                <w:szCs w:val="18"/>
                <w:lang w:eastAsia="fr-FR"/>
              </w:rPr>
              <w:t>17.416.626.569,00</w:t>
            </w:r>
          </w:p>
        </w:tc>
        <w:tc>
          <w:tcPr>
            <w:tcW w:w="1740" w:type="dxa"/>
            <w:tcMar>
              <w:top w:w="0" w:type="dxa"/>
              <w:left w:w="108" w:type="dxa"/>
              <w:bottom w:w="0" w:type="dxa"/>
              <w:right w:w="108" w:type="dxa"/>
            </w:tcMar>
          </w:tcPr>
          <w:p w:rsidR="00DD4C65" w:rsidRPr="009E6241" w:rsidRDefault="00DD4C65" w:rsidP="0024060B">
            <w:pPr>
              <w:tabs>
                <w:tab w:val="decimal" w:pos="1451"/>
              </w:tabs>
              <w:spacing w:before="60" w:after="60" w:line="276" w:lineRule="auto"/>
              <w:jc w:val="right"/>
              <w:rPr>
                <w:rFonts w:ascii="Arial" w:hAnsi="Arial" w:cs="Arial"/>
                <w:sz w:val="18"/>
                <w:szCs w:val="18"/>
              </w:rPr>
            </w:pPr>
            <w:r w:rsidRPr="009E6241">
              <w:rPr>
                <w:rFonts w:ascii="Arial" w:hAnsi="Arial" w:cs="Arial"/>
                <w:sz w:val="18"/>
                <w:szCs w:val="18"/>
                <w:lang w:eastAsia="fr-FR"/>
              </w:rPr>
              <w:t>17.539.482.905,45</w:t>
            </w:r>
          </w:p>
        </w:tc>
        <w:tc>
          <w:tcPr>
            <w:tcW w:w="1758" w:type="dxa"/>
            <w:tcMar>
              <w:top w:w="0" w:type="dxa"/>
              <w:left w:w="108" w:type="dxa"/>
              <w:bottom w:w="0" w:type="dxa"/>
              <w:right w:w="108" w:type="dxa"/>
            </w:tcMar>
          </w:tcPr>
          <w:p w:rsidR="00DD4C65" w:rsidRPr="009E6241" w:rsidRDefault="00DD4C65" w:rsidP="0024060B">
            <w:pPr>
              <w:tabs>
                <w:tab w:val="decimal" w:pos="1281"/>
              </w:tabs>
              <w:spacing w:before="60" w:after="60" w:line="276" w:lineRule="auto"/>
              <w:ind w:left="-336"/>
              <w:jc w:val="right"/>
              <w:rPr>
                <w:rFonts w:ascii="Arial" w:hAnsi="Arial" w:cs="Arial"/>
                <w:sz w:val="18"/>
                <w:szCs w:val="18"/>
              </w:rPr>
            </w:pPr>
            <w:r w:rsidRPr="009E6241">
              <w:rPr>
                <w:rFonts w:ascii="Arial" w:hAnsi="Arial" w:cs="Arial"/>
                <w:sz w:val="18"/>
                <w:szCs w:val="18"/>
                <w:lang w:eastAsia="fr-FR"/>
              </w:rPr>
              <w:t>122.856.336,45</w:t>
            </w:r>
          </w:p>
        </w:tc>
        <w:tc>
          <w:tcPr>
            <w:tcW w:w="901" w:type="dxa"/>
            <w:tcMar>
              <w:top w:w="0" w:type="dxa"/>
              <w:left w:w="108" w:type="dxa"/>
              <w:bottom w:w="0" w:type="dxa"/>
              <w:right w:w="108" w:type="dxa"/>
            </w:tcMar>
          </w:tcPr>
          <w:p w:rsidR="00DD4C65" w:rsidRPr="009E6241" w:rsidRDefault="00DD4C65" w:rsidP="0024060B">
            <w:pPr>
              <w:tabs>
                <w:tab w:val="decimal" w:pos="562"/>
              </w:tabs>
              <w:spacing w:before="60" w:after="60" w:line="276" w:lineRule="auto"/>
              <w:jc w:val="right"/>
              <w:rPr>
                <w:rFonts w:ascii="Arial" w:hAnsi="Arial" w:cs="Arial"/>
                <w:sz w:val="18"/>
                <w:szCs w:val="18"/>
              </w:rPr>
            </w:pPr>
            <w:r w:rsidRPr="009E6241">
              <w:rPr>
                <w:rFonts w:ascii="Arial" w:hAnsi="Arial" w:cs="Arial"/>
                <w:sz w:val="18"/>
                <w:szCs w:val="18"/>
                <w:lang w:eastAsia="fr-FR"/>
              </w:rPr>
              <w:t>0,71%</w:t>
            </w:r>
          </w:p>
        </w:tc>
      </w:tr>
      <w:tr w:rsidR="00DD4C65" w:rsidRPr="00DD4C65" w:rsidTr="0024060B">
        <w:trPr>
          <w:cantSplit/>
          <w:trHeight w:val="20"/>
        </w:trPr>
        <w:tc>
          <w:tcPr>
            <w:tcW w:w="2127" w:type="dxa"/>
            <w:tcMar>
              <w:top w:w="0" w:type="dxa"/>
              <w:left w:w="108" w:type="dxa"/>
              <w:bottom w:w="0" w:type="dxa"/>
              <w:right w:w="108" w:type="dxa"/>
            </w:tcMar>
          </w:tcPr>
          <w:p w:rsidR="00DD4C65" w:rsidRPr="009E6241" w:rsidRDefault="00DD4C65" w:rsidP="0024060B">
            <w:pPr>
              <w:spacing w:before="60" w:after="60" w:line="276" w:lineRule="auto"/>
              <w:rPr>
                <w:rFonts w:ascii="Arial" w:hAnsi="Arial" w:cs="Arial"/>
                <w:sz w:val="18"/>
                <w:szCs w:val="18"/>
              </w:rPr>
            </w:pPr>
            <w:r w:rsidRPr="009E6241">
              <w:rPr>
                <w:rFonts w:ascii="Arial" w:hAnsi="Arial" w:cs="Arial"/>
                <w:sz w:val="18"/>
                <w:szCs w:val="18"/>
              </w:rPr>
              <w:t>Excédent (1) - (2)</w:t>
            </w:r>
          </w:p>
        </w:tc>
        <w:tc>
          <w:tcPr>
            <w:tcW w:w="1740" w:type="dxa"/>
            <w:tcMar>
              <w:top w:w="0" w:type="dxa"/>
              <w:left w:w="108" w:type="dxa"/>
              <w:bottom w:w="0" w:type="dxa"/>
              <w:right w:w="108" w:type="dxa"/>
            </w:tcMar>
            <w:vAlign w:val="bottom"/>
          </w:tcPr>
          <w:p w:rsidR="00DD4C65" w:rsidRPr="009E6241" w:rsidRDefault="00DD4C65" w:rsidP="0024060B">
            <w:pPr>
              <w:tabs>
                <w:tab w:val="decimal" w:pos="1452"/>
              </w:tabs>
              <w:spacing w:before="60" w:after="60" w:line="276" w:lineRule="auto"/>
              <w:ind w:left="-198"/>
              <w:jc w:val="right"/>
              <w:rPr>
                <w:rFonts w:ascii="Arial" w:hAnsi="Arial" w:cs="Arial"/>
                <w:sz w:val="18"/>
                <w:szCs w:val="18"/>
              </w:rPr>
            </w:pPr>
            <w:r w:rsidRPr="009E6241">
              <w:rPr>
                <w:rFonts w:ascii="Arial" w:hAnsi="Arial" w:cs="Arial"/>
                <w:sz w:val="18"/>
                <w:szCs w:val="18"/>
                <w:lang w:eastAsia="fr-FR"/>
              </w:rPr>
              <w:t>-815.167.410,00</w:t>
            </w:r>
          </w:p>
        </w:tc>
        <w:tc>
          <w:tcPr>
            <w:tcW w:w="1740" w:type="dxa"/>
            <w:tcMar>
              <w:top w:w="0" w:type="dxa"/>
              <w:left w:w="108" w:type="dxa"/>
              <w:bottom w:w="0" w:type="dxa"/>
              <w:right w:w="108" w:type="dxa"/>
            </w:tcMar>
            <w:vAlign w:val="bottom"/>
          </w:tcPr>
          <w:p w:rsidR="00DD4C65" w:rsidRPr="009E6241" w:rsidRDefault="00DD4C65" w:rsidP="0024060B">
            <w:pPr>
              <w:tabs>
                <w:tab w:val="decimal" w:pos="1451"/>
              </w:tabs>
              <w:spacing w:before="60" w:after="60" w:line="276" w:lineRule="auto"/>
              <w:jc w:val="right"/>
              <w:rPr>
                <w:rFonts w:ascii="Arial" w:hAnsi="Arial" w:cs="Arial"/>
                <w:sz w:val="18"/>
                <w:szCs w:val="18"/>
              </w:rPr>
            </w:pPr>
            <w:r w:rsidRPr="009E6241">
              <w:rPr>
                <w:rFonts w:ascii="Arial" w:hAnsi="Arial" w:cs="Arial"/>
                <w:sz w:val="18"/>
                <w:szCs w:val="18"/>
                <w:lang w:eastAsia="fr-FR"/>
              </w:rPr>
              <w:t>-128.833.166,18</w:t>
            </w:r>
          </w:p>
        </w:tc>
        <w:tc>
          <w:tcPr>
            <w:tcW w:w="1758" w:type="dxa"/>
            <w:tcMar>
              <w:top w:w="0" w:type="dxa"/>
              <w:left w:w="108" w:type="dxa"/>
              <w:bottom w:w="0" w:type="dxa"/>
              <w:right w:w="108" w:type="dxa"/>
            </w:tcMar>
            <w:vAlign w:val="bottom"/>
          </w:tcPr>
          <w:p w:rsidR="00DD4C65" w:rsidRPr="009E6241" w:rsidRDefault="00DD4C65" w:rsidP="0024060B">
            <w:pPr>
              <w:tabs>
                <w:tab w:val="decimal" w:pos="1281"/>
              </w:tabs>
              <w:spacing w:before="60" w:after="60" w:line="276" w:lineRule="auto"/>
              <w:ind w:left="-336"/>
              <w:jc w:val="right"/>
              <w:rPr>
                <w:rFonts w:ascii="Arial" w:hAnsi="Arial" w:cs="Arial"/>
                <w:sz w:val="18"/>
                <w:szCs w:val="18"/>
              </w:rPr>
            </w:pPr>
            <w:r w:rsidRPr="009E6241">
              <w:rPr>
                <w:rFonts w:ascii="Arial" w:hAnsi="Arial" w:cs="Arial"/>
                <w:sz w:val="18"/>
                <w:szCs w:val="18"/>
                <w:lang w:eastAsia="fr-FR"/>
              </w:rPr>
              <w:t>686.333.833,82</w:t>
            </w:r>
          </w:p>
        </w:tc>
        <w:tc>
          <w:tcPr>
            <w:tcW w:w="901" w:type="dxa"/>
            <w:tcMar>
              <w:top w:w="0" w:type="dxa"/>
              <w:left w:w="108" w:type="dxa"/>
              <w:bottom w:w="0" w:type="dxa"/>
              <w:right w:w="108" w:type="dxa"/>
            </w:tcMar>
            <w:vAlign w:val="bottom"/>
          </w:tcPr>
          <w:p w:rsidR="00DD4C65" w:rsidRPr="009E6241" w:rsidRDefault="00DD4C65" w:rsidP="0024060B">
            <w:pPr>
              <w:tabs>
                <w:tab w:val="decimal" w:pos="562"/>
              </w:tabs>
              <w:spacing w:before="60" w:after="60" w:line="276" w:lineRule="auto"/>
              <w:jc w:val="right"/>
              <w:rPr>
                <w:rFonts w:ascii="Arial" w:hAnsi="Arial" w:cs="Arial"/>
                <w:sz w:val="18"/>
                <w:szCs w:val="18"/>
              </w:rPr>
            </w:pPr>
          </w:p>
        </w:tc>
      </w:tr>
    </w:tbl>
    <w:p w:rsidR="00DD4C65" w:rsidRPr="009E6241" w:rsidRDefault="00DD4C65" w:rsidP="00DD4C65">
      <w:pPr>
        <w:tabs>
          <w:tab w:val="left" w:pos="4788"/>
          <w:tab w:val="left" w:pos="6468"/>
          <w:tab w:val="left" w:pos="8112"/>
        </w:tabs>
        <w:spacing w:before="120" w:line="276" w:lineRule="auto"/>
        <w:ind w:left="567"/>
        <w:rPr>
          <w:rFonts w:ascii="Arial" w:hAnsi="Arial" w:cs="Arial"/>
          <w:i/>
          <w:sz w:val="18"/>
          <w:szCs w:val="18"/>
        </w:rPr>
      </w:pPr>
      <w:r w:rsidRPr="009E6241">
        <w:rPr>
          <w:rFonts w:ascii="Arial" w:hAnsi="Arial" w:cs="Arial"/>
          <w:i/>
          <w:sz w:val="18"/>
          <w:szCs w:val="18"/>
        </w:rPr>
        <w:t>Source chiffres : budget de l’Etat 2019, compte général 2019, tableau : Cour des comptes</w:t>
      </w:r>
    </w:p>
    <w:p w:rsidR="00DD4C65" w:rsidRPr="00DD4C65" w:rsidRDefault="00DD4C65" w:rsidP="00DD4C65">
      <w:pPr>
        <w:pStyle w:val="1TEXTE"/>
        <w:spacing w:after="0" w:line="276" w:lineRule="auto"/>
        <w:ind w:left="0" w:firstLine="0"/>
        <w:rPr>
          <w:rFonts w:ascii="Arial" w:hAnsi="Arial" w:cs="Arial"/>
          <w:sz w:val="22"/>
          <w:szCs w:val="22"/>
          <w:lang w:val="fr-LU"/>
        </w:rPr>
      </w:pPr>
    </w:p>
    <w:p w:rsidR="00DD4C65" w:rsidRPr="00DD4C65" w:rsidRDefault="00DD4C65" w:rsidP="00DD4C65">
      <w:pPr>
        <w:pStyle w:val="1TEXTE"/>
        <w:spacing w:after="0" w:line="276" w:lineRule="auto"/>
        <w:ind w:left="0" w:firstLine="0"/>
        <w:rPr>
          <w:rFonts w:ascii="Arial" w:hAnsi="Arial" w:cs="Arial"/>
          <w:sz w:val="22"/>
          <w:szCs w:val="22"/>
          <w:lang w:val="fr-LU"/>
        </w:rPr>
      </w:pPr>
      <w:r w:rsidRPr="00DD4C65">
        <w:rPr>
          <w:rFonts w:ascii="Arial" w:hAnsi="Arial" w:cs="Arial"/>
          <w:sz w:val="22"/>
          <w:szCs w:val="22"/>
          <w:lang w:val="fr-LU"/>
        </w:rPr>
        <w:t xml:space="preserve">Le compte général de l’exercice 2019, hors opérations financières, affiche donc un excédent de dépenses de 128,83 millions d’euros, alors que le budget voté a tablé sur un déficit de 815,17 millions d’euros. </w:t>
      </w:r>
    </w:p>
    <w:p w:rsidR="00DD4C65" w:rsidRPr="00DD4C65" w:rsidRDefault="00DD4C65" w:rsidP="00DD4C65">
      <w:pPr>
        <w:pStyle w:val="1TEXTE"/>
        <w:spacing w:after="0" w:line="276" w:lineRule="auto"/>
        <w:ind w:left="0" w:firstLine="0"/>
        <w:rPr>
          <w:rFonts w:ascii="Arial" w:hAnsi="Arial" w:cs="Arial"/>
          <w:sz w:val="22"/>
          <w:szCs w:val="22"/>
          <w:lang w:val="fr-LU"/>
        </w:rPr>
      </w:pPr>
    </w:p>
    <w:p w:rsidR="00BC2FE8" w:rsidRPr="009E6241" w:rsidRDefault="00DD4C65" w:rsidP="009E6241">
      <w:pPr>
        <w:pStyle w:val="1TEXTE"/>
        <w:spacing w:line="276" w:lineRule="auto"/>
        <w:ind w:left="0" w:firstLine="0"/>
        <w:rPr>
          <w:rFonts w:ascii="Arial" w:hAnsi="Arial" w:cs="Arial"/>
          <w:sz w:val="22"/>
          <w:szCs w:val="22"/>
          <w:lang w:val="fr-LU"/>
        </w:rPr>
      </w:pPr>
      <w:r w:rsidRPr="00DD4C65">
        <w:rPr>
          <w:rFonts w:ascii="Arial" w:hAnsi="Arial" w:cs="Arial"/>
          <w:sz w:val="22"/>
          <w:szCs w:val="22"/>
          <w:lang w:val="fr-LU"/>
        </w:rPr>
        <w:t xml:space="preserve">La différence de 686,33 millions d’euros entre le résultat du compte général, hors opérations financières, et celui prévu au budget de 2019 s’explique essentiellement par l’augmentation des recettes courantes qui passent de 16.502,71 millions d’euros à 17.283,91 millions d’euros. </w:t>
      </w:r>
    </w:p>
    <w:sectPr w:rsidR="00BC2FE8" w:rsidRPr="009E6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6746"/>
    <w:multiLevelType w:val="hybridMultilevel"/>
    <w:tmpl w:val="2550CC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755500"/>
    <w:multiLevelType w:val="hybridMultilevel"/>
    <w:tmpl w:val="41501B0C"/>
    <w:lvl w:ilvl="0" w:tplc="58320E26">
      <w:start w:val="1"/>
      <w:numFmt w:val="bullet"/>
      <w:pStyle w:val="1IndentBulletTEXTE"/>
      <w:lvlText w:val=""/>
      <w:lvlJc w:val="left"/>
      <w:pPr>
        <w:ind w:left="2349" w:hanging="360"/>
      </w:pPr>
      <w:rPr>
        <w:rFonts w:ascii="Symbol" w:hAnsi="Symbol" w:hint="default"/>
      </w:rPr>
    </w:lvl>
    <w:lvl w:ilvl="1" w:tplc="3AEE230A">
      <w:start w:val="1"/>
      <w:numFmt w:val="bullet"/>
      <w:pStyle w:val="1IndentIndentBulletTEXTE"/>
      <w:lvlText w:val="o"/>
      <w:lvlJc w:val="left"/>
      <w:pPr>
        <w:tabs>
          <w:tab w:val="num" w:pos="3069"/>
        </w:tabs>
        <w:ind w:left="3069" w:hanging="360"/>
      </w:pPr>
      <w:rPr>
        <w:rFonts w:ascii="Courier New" w:hAnsi="Courier New" w:hint="default"/>
      </w:rPr>
    </w:lvl>
    <w:lvl w:ilvl="2" w:tplc="04090005" w:tentative="1">
      <w:start w:val="1"/>
      <w:numFmt w:val="bullet"/>
      <w:lvlText w:val=""/>
      <w:lvlJc w:val="left"/>
      <w:pPr>
        <w:tabs>
          <w:tab w:val="num" w:pos="3789"/>
        </w:tabs>
        <w:ind w:left="3789" w:hanging="360"/>
      </w:pPr>
      <w:rPr>
        <w:rFonts w:ascii="Wingdings" w:hAnsi="Wingdings" w:hint="default"/>
      </w:rPr>
    </w:lvl>
    <w:lvl w:ilvl="3" w:tplc="04090001" w:tentative="1">
      <w:start w:val="1"/>
      <w:numFmt w:val="bullet"/>
      <w:lvlText w:val=""/>
      <w:lvlJc w:val="left"/>
      <w:pPr>
        <w:tabs>
          <w:tab w:val="num" w:pos="4509"/>
        </w:tabs>
        <w:ind w:left="4509" w:hanging="360"/>
      </w:pPr>
      <w:rPr>
        <w:rFonts w:ascii="Symbol" w:hAnsi="Symbol" w:hint="default"/>
      </w:rPr>
    </w:lvl>
    <w:lvl w:ilvl="4" w:tplc="04090003" w:tentative="1">
      <w:start w:val="1"/>
      <w:numFmt w:val="bullet"/>
      <w:lvlText w:val="o"/>
      <w:lvlJc w:val="left"/>
      <w:pPr>
        <w:tabs>
          <w:tab w:val="num" w:pos="5229"/>
        </w:tabs>
        <w:ind w:left="5229" w:hanging="360"/>
      </w:pPr>
      <w:rPr>
        <w:rFonts w:ascii="Courier New" w:hAnsi="Courier New" w:cs="Courier New" w:hint="default"/>
      </w:rPr>
    </w:lvl>
    <w:lvl w:ilvl="5" w:tplc="04090005" w:tentative="1">
      <w:start w:val="1"/>
      <w:numFmt w:val="bullet"/>
      <w:lvlText w:val=""/>
      <w:lvlJc w:val="left"/>
      <w:pPr>
        <w:tabs>
          <w:tab w:val="num" w:pos="5949"/>
        </w:tabs>
        <w:ind w:left="5949" w:hanging="360"/>
      </w:pPr>
      <w:rPr>
        <w:rFonts w:ascii="Wingdings" w:hAnsi="Wingdings" w:hint="default"/>
      </w:rPr>
    </w:lvl>
    <w:lvl w:ilvl="6" w:tplc="04090001" w:tentative="1">
      <w:start w:val="1"/>
      <w:numFmt w:val="bullet"/>
      <w:lvlText w:val=""/>
      <w:lvlJc w:val="left"/>
      <w:pPr>
        <w:tabs>
          <w:tab w:val="num" w:pos="6669"/>
        </w:tabs>
        <w:ind w:left="6669" w:hanging="360"/>
      </w:pPr>
      <w:rPr>
        <w:rFonts w:ascii="Symbol" w:hAnsi="Symbol" w:hint="default"/>
      </w:rPr>
    </w:lvl>
    <w:lvl w:ilvl="7" w:tplc="04090003" w:tentative="1">
      <w:start w:val="1"/>
      <w:numFmt w:val="bullet"/>
      <w:lvlText w:val="o"/>
      <w:lvlJc w:val="left"/>
      <w:pPr>
        <w:tabs>
          <w:tab w:val="num" w:pos="7389"/>
        </w:tabs>
        <w:ind w:left="7389" w:hanging="360"/>
      </w:pPr>
      <w:rPr>
        <w:rFonts w:ascii="Courier New" w:hAnsi="Courier New" w:cs="Courier New" w:hint="default"/>
      </w:rPr>
    </w:lvl>
    <w:lvl w:ilvl="8" w:tplc="04090005" w:tentative="1">
      <w:start w:val="1"/>
      <w:numFmt w:val="bullet"/>
      <w:lvlText w:val=""/>
      <w:lvlJc w:val="left"/>
      <w:pPr>
        <w:tabs>
          <w:tab w:val="num" w:pos="8109"/>
        </w:tabs>
        <w:ind w:left="810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C65"/>
    <w:rsid w:val="0024060B"/>
    <w:rsid w:val="008E7202"/>
    <w:rsid w:val="009E6241"/>
    <w:rsid w:val="00BC2FE8"/>
    <w:rsid w:val="00DD4C65"/>
    <w:rsid w:val="00F21945"/>
    <w:rsid w:val="00FB15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742B8A-E3E6-4A6C-99AB-CB0EF9C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65"/>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D4C65"/>
    <w:pPr>
      <w:autoSpaceDE w:val="0"/>
      <w:autoSpaceDN w:val="0"/>
      <w:adjustRightInd w:val="0"/>
    </w:pPr>
    <w:rPr>
      <w:rFonts w:ascii="Garamond" w:eastAsia="Times New Roman" w:hAnsi="Garamond" w:cs="Garamond"/>
      <w:color w:val="000000"/>
      <w:sz w:val="24"/>
      <w:szCs w:val="24"/>
    </w:rPr>
  </w:style>
  <w:style w:type="paragraph" w:customStyle="1" w:styleId="1TEXTE">
    <w:name w:val="1     TEXTE"/>
    <w:basedOn w:val="Normal"/>
    <w:link w:val="1TEXTEChar"/>
    <w:rsid w:val="00DD4C65"/>
    <w:pPr>
      <w:spacing w:after="240" w:line="360" w:lineRule="auto"/>
      <w:ind w:left="1985" w:hanging="851"/>
      <w:jc w:val="both"/>
    </w:pPr>
    <w:rPr>
      <w:rFonts w:ascii="Garamond" w:eastAsia="Times New Roman" w:hAnsi="Garamond"/>
      <w:sz w:val="20"/>
      <w:szCs w:val="20"/>
      <w:lang w:val="fr-FR"/>
    </w:rPr>
  </w:style>
  <w:style w:type="character" w:customStyle="1" w:styleId="1TEXTEChar">
    <w:name w:val="1     TEXTE Char"/>
    <w:link w:val="1TEXTE"/>
    <w:rsid w:val="00DD4C65"/>
    <w:rPr>
      <w:rFonts w:ascii="Garamond" w:eastAsia="Times New Roman" w:hAnsi="Garamond" w:cs="Times New Roman"/>
      <w:sz w:val="20"/>
      <w:szCs w:val="20"/>
      <w:lang w:val="fr-FR"/>
    </w:rPr>
  </w:style>
  <w:style w:type="paragraph" w:customStyle="1" w:styleId="1texte0">
    <w:name w:val="1texte"/>
    <w:basedOn w:val="Normal"/>
    <w:rsid w:val="00DD4C65"/>
    <w:pPr>
      <w:spacing w:after="240" w:line="360" w:lineRule="auto"/>
      <w:ind w:left="1985" w:hanging="851"/>
      <w:jc w:val="both"/>
    </w:pPr>
    <w:rPr>
      <w:rFonts w:ascii="Garamond" w:eastAsia="Times New Roman" w:hAnsi="Garamond"/>
      <w:sz w:val="20"/>
      <w:szCs w:val="20"/>
      <w:lang w:val="en-US"/>
    </w:rPr>
  </w:style>
  <w:style w:type="paragraph" w:customStyle="1" w:styleId="1TitreTableaugrand">
    <w:name w:val="1     Titre Tableau grand"/>
    <w:basedOn w:val="Normal"/>
    <w:next w:val="Normal"/>
    <w:rsid w:val="00DD4C65"/>
    <w:pPr>
      <w:keepNext/>
      <w:spacing w:before="480" w:afterLines="150" w:after="0" w:line="360" w:lineRule="auto"/>
      <w:ind w:left="1089" w:firstLine="6"/>
      <w:jc w:val="center"/>
    </w:pPr>
    <w:rPr>
      <w:rFonts w:ascii="Frutiger 55 Roman" w:eastAsia="Times New Roman" w:hAnsi="Frutiger 55 Roman"/>
      <w:b/>
      <w:lang w:val="fr-FR"/>
    </w:rPr>
  </w:style>
  <w:style w:type="paragraph" w:customStyle="1" w:styleId="1IndentBulletTEXTE">
    <w:name w:val="1     Indent Bullet TEXTE"/>
    <w:basedOn w:val="Normal"/>
    <w:link w:val="1IndentBulletTEXTEChar1"/>
    <w:rsid w:val="00DD4C65"/>
    <w:pPr>
      <w:numPr>
        <w:numId w:val="1"/>
      </w:numPr>
      <w:spacing w:afterLines="100" w:after="0" w:line="360" w:lineRule="auto"/>
      <w:jc w:val="both"/>
    </w:pPr>
    <w:rPr>
      <w:rFonts w:ascii="Garamond" w:hAnsi="Garamond"/>
      <w:sz w:val="20"/>
      <w:szCs w:val="20"/>
      <w:lang w:eastAsia="en-GB"/>
    </w:rPr>
  </w:style>
  <w:style w:type="character" w:customStyle="1" w:styleId="1IndentBulletTEXTEChar1">
    <w:name w:val="1     Indent Bullet TEXTE Char1"/>
    <w:link w:val="1IndentBulletTEXTE"/>
    <w:locked/>
    <w:rsid w:val="00DD4C65"/>
    <w:rPr>
      <w:rFonts w:ascii="Garamond" w:eastAsia="Calibri" w:hAnsi="Garamond" w:cs="Times New Roman"/>
      <w:sz w:val="20"/>
      <w:szCs w:val="20"/>
      <w:lang w:val="fr-LU" w:eastAsia="en-GB"/>
    </w:rPr>
  </w:style>
  <w:style w:type="paragraph" w:customStyle="1" w:styleId="1IndentIndentBulletTEXTE">
    <w:name w:val="1   Indent Indent Bullet TEXTE"/>
    <w:basedOn w:val="1TEXTE"/>
    <w:rsid w:val="00DD4C65"/>
    <w:pPr>
      <w:numPr>
        <w:ilvl w:val="1"/>
        <w:numId w:val="1"/>
      </w:numPr>
      <w:tabs>
        <w:tab w:val="clear" w:pos="3069"/>
        <w:tab w:val="num" w:pos="360"/>
        <w:tab w:val="num" w:pos="2353"/>
      </w:tabs>
      <w:ind w:left="2353" w:hanging="3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6079012-4C95-4D61-9D32-0B1E6F71581F}"/>
</file>

<file path=customXml/itemProps2.xml><?xml version="1.0" encoding="utf-8"?>
<ds:datastoreItem xmlns:ds="http://schemas.openxmlformats.org/officeDocument/2006/customXml" ds:itemID="{783B0B71-F260-4063-A17C-74124DA6D9F7}"/>
</file>

<file path=customXml/itemProps3.xml><?xml version="1.0" encoding="utf-8"?>
<ds:datastoreItem xmlns:ds="http://schemas.openxmlformats.org/officeDocument/2006/customXml" ds:itemID="{ED50730E-EE31-4555-9200-5932639E747B}"/>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2774</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