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DD" w:rsidRPr="00F25FDD" w:rsidRDefault="00F25FDD" w:rsidP="00F25FDD">
      <w:pPr>
        <w:spacing w:line="276" w:lineRule="auto"/>
        <w:jc w:val="center"/>
        <w:rPr>
          <w:rFonts w:cs="Arial"/>
          <w:b/>
          <w:bCs/>
        </w:rPr>
      </w:pPr>
      <w:bookmarkStart w:id="0" w:name="_GoBack"/>
      <w:bookmarkEnd w:id="0"/>
      <w:r w:rsidRPr="00F25FDD">
        <w:rPr>
          <w:rFonts w:cs="Arial"/>
          <w:b/>
          <w:bCs/>
        </w:rPr>
        <w:t>Synthèse du projet de loi 7671</w:t>
      </w:r>
    </w:p>
    <w:p w:rsidR="00F25FDD" w:rsidRDefault="00F25FDD" w:rsidP="00AF107F">
      <w:pPr>
        <w:spacing w:line="276" w:lineRule="auto"/>
        <w:rPr>
          <w:rFonts w:cs="Arial"/>
        </w:rPr>
      </w:pPr>
    </w:p>
    <w:p w:rsidR="00AF107F" w:rsidRPr="00613923" w:rsidRDefault="00AF107F" w:rsidP="00AF107F">
      <w:pPr>
        <w:spacing w:line="276" w:lineRule="auto"/>
        <w:rPr>
          <w:rFonts w:cs="Arial"/>
        </w:rPr>
      </w:pPr>
      <w:r>
        <w:rPr>
          <w:rFonts w:cs="Arial"/>
        </w:rPr>
        <w:t>Le projet de loi 7671 a pour objectif de</w:t>
      </w:r>
      <w:r w:rsidRPr="00613923">
        <w:rPr>
          <w:rFonts w:cs="Arial"/>
        </w:rPr>
        <w:t xml:space="preserve"> moderniser en profondeur le droit de l’arbitrage, dont l’origine, malgré quelques réformes ponctuelles, remonte à l’ère napoléonienne. L’exposé des motifs fait à juste titre référence au </w:t>
      </w:r>
      <w:r w:rsidRPr="00613923">
        <w:rPr>
          <w:rFonts w:cs="Arial"/>
          <w:i/>
        </w:rPr>
        <w:t>« droit suranné »</w:t>
      </w:r>
      <w:r w:rsidRPr="00613923">
        <w:rPr>
          <w:rFonts w:cs="Arial"/>
        </w:rPr>
        <w:t xml:space="preserve"> de l’arbitrage au Luxembourg, malgré l’essor de cette procédure de résolution des litiges, notamment en matière internationale. </w:t>
      </w:r>
    </w:p>
    <w:p w:rsidR="00AF107F" w:rsidRPr="00613923" w:rsidRDefault="00AF107F" w:rsidP="00AF107F">
      <w:pPr>
        <w:spacing w:line="276" w:lineRule="auto"/>
        <w:rPr>
          <w:rFonts w:cs="Arial"/>
        </w:rPr>
      </w:pPr>
    </w:p>
    <w:p w:rsidR="00AF107F" w:rsidRPr="00613923" w:rsidRDefault="00AF107F" w:rsidP="00AF107F">
      <w:pPr>
        <w:spacing w:line="276" w:lineRule="auto"/>
        <w:rPr>
          <w:rFonts w:cs="Arial"/>
        </w:rPr>
      </w:pPr>
      <w:r w:rsidRPr="00613923">
        <w:rPr>
          <w:rFonts w:cs="Arial"/>
        </w:rPr>
        <w:t>La matière se trouve aujourd’hui inscrite dans les articles 1224 à 1251 du Nouveau Code de procédure civile. La pratique a cependant montré un certain nombre de lacunes et d’imperfections du règlement grand-ducal de 1981 qui méritent qu’on y remédie dans l’intérêt du développement de ce mode alternatif de règlement des conflits. Une telle démarche s’inscrit par ailleurs dans un mouvement plus vaste au plan mondial où de nombreux Etats procèdent à la modernisation de leur droit de l’arbitrage.</w:t>
      </w:r>
    </w:p>
    <w:p w:rsidR="00AF107F" w:rsidRPr="00613923" w:rsidRDefault="00AF107F" w:rsidP="00AF107F">
      <w:pPr>
        <w:spacing w:line="276" w:lineRule="auto"/>
        <w:rPr>
          <w:rFonts w:cs="Arial"/>
        </w:rPr>
      </w:pPr>
    </w:p>
    <w:p w:rsidR="00AF107F" w:rsidRPr="00613923" w:rsidRDefault="00AF107F" w:rsidP="00AF107F">
      <w:pPr>
        <w:spacing w:line="276" w:lineRule="auto"/>
        <w:rPr>
          <w:rFonts w:cs="Arial"/>
        </w:rPr>
      </w:pPr>
      <w:r w:rsidRPr="00613923">
        <w:rPr>
          <w:rFonts w:cs="Arial"/>
        </w:rPr>
        <w:t xml:space="preserve">Le programme gouvernemental 2018-2023 énonce: </w:t>
      </w:r>
      <w:r w:rsidRPr="00613923">
        <w:rPr>
          <w:rFonts w:cs="Arial"/>
          <w:i/>
        </w:rPr>
        <w:t>« Ce mode alternatif de règlement des litiges sera modernisé afin de mettre en avant ses atouts de flexibilité, de rapidité et de confidentialité tout en l’encadrant de garanties appropriées notamment en ce qui concerne le respect de l’ordre public, le droit des parties à l’arbitrage ainsi que le respect des droits de tierces personnes »</w:t>
      </w:r>
      <w:r w:rsidRPr="00613923">
        <w:rPr>
          <w:rFonts w:cs="Arial"/>
        </w:rPr>
        <w:t>.</w:t>
      </w:r>
    </w:p>
    <w:p w:rsidR="00AF107F" w:rsidRPr="00613923" w:rsidRDefault="00AF107F" w:rsidP="00AF107F">
      <w:pPr>
        <w:spacing w:line="276" w:lineRule="auto"/>
        <w:rPr>
          <w:rFonts w:cs="Arial"/>
        </w:rPr>
      </w:pPr>
    </w:p>
    <w:p w:rsidR="00AF107F" w:rsidRPr="00613923" w:rsidRDefault="00AF107F" w:rsidP="00AF107F">
      <w:pPr>
        <w:spacing w:line="276" w:lineRule="auto"/>
        <w:rPr>
          <w:rFonts w:cs="Arial"/>
        </w:rPr>
      </w:pPr>
      <w:r w:rsidRPr="00613923">
        <w:rPr>
          <w:rFonts w:cs="Arial"/>
        </w:rPr>
        <w:t>L’arbitrage en tant que mode alternatif de règlement de conflits peut en effet utilement contribuer à décharger les juridictions étatiques de certains contentieux spécifiques. D’un autre côté, le Luxembourg jouit de certains avantages qui devraient naturellement pouvoir contribuer au développement de l’arbitrage. La multiculturalité et le plurilinguisme augmentent les facultés des acteurs de la place à s’imprégner d’un point de vue sociologique du contenu des dossiers à ramifications internationales. Cette aisance sociologique est complétée par le travail du juriste luxembourgeois, qui est habitué à se confronter aux droits étrangers et à adopter une méthode comparatiste dans l’application du droit. Finalement, la situation géographique, la continuité politique et la stabilité de l’environnement normatif peuvent également favoriser le choix des parties en faveur du Luxembourg comme lieu de leur arbitrage.</w:t>
      </w:r>
    </w:p>
    <w:p w:rsidR="00AF107F" w:rsidRPr="00613923" w:rsidRDefault="00AF107F" w:rsidP="00AF107F">
      <w:pPr>
        <w:spacing w:line="276" w:lineRule="auto"/>
        <w:rPr>
          <w:rFonts w:cs="Arial"/>
        </w:rPr>
      </w:pPr>
    </w:p>
    <w:p w:rsidR="00AF107F" w:rsidRPr="00613923" w:rsidRDefault="00AF107F" w:rsidP="00AF107F">
      <w:pPr>
        <w:spacing w:line="276" w:lineRule="auto"/>
        <w:rPr>
          <w:rFonts w:cs="Arial"/>
        </w:rPr>
      </w:pPr>
      <w:r w:rsidRPr="00613923">
        <w:rPr>
          <w:rFonts w:cs="Arial"/>
        </w:rPr>
        <w:t>Le projet de loi n° 7671 redéfinit les bases juridiques de l’arbitrage. Ces bases juridiques doivent consister en un corps de règles cohérentes, connues et reconnues par le monde des affaires pour leur efficacité et acceptées comme répondant aux exigences et contraintes d’une procédure arbitrale utile.</w:t>
      </w:r>
    </w:p>
    <w:p w:rsidR="00AF107F" w:rsidRPr="00613923" w:rsidRDefault="00AF107F" w:rsidP="00AF107F">
      <w:pPr>
        <w:spacing w:line="276" w:lineRule="auto"/>
        <w:rPr>
          <w:rFonts w:cs="Arial"/>
        </w:rPr>
      </w:pPr>
    </w:p>
    <w:p w:rsidR="00AF107F" w:rsidRPr="00613923" w:rsidRDefault="00AF107F" w:rsidP="00AF107F">
      <w:pPr>
        <w:spacing w:line="276" w:lineRule="auto"/>
        <w:rPr>
          <w:rFonts w:cs="Arial"/>
        </w:rPr>
      </w:pPr>
      <w:r w:rsidRPr="00613923">
        <w:rPr>
          <w:rFonts w:cs="Arial"/>
        </w:rPr>
        <w:t xml:space="preserve">Le texte proposé prend appui sur trois choix fondamentaux. </w:t>
      </w:r>
    </w:p>
    <w:p w:rsidR="00AF107F" w:rsidRPr="00613923" w:rsidRDefault="00AF107F" w:rsidP="00AF107F">
      <w:pPr>
        <w:spacing w:line="276" w:lineRule="auto"/>
        <w:rPr>
          <w:rFonts w:cs="Arial"/>
        </w:rPr>
      </w:pPr>
    </w:p>
    <w:p w:rsidR="00AF107F" w:rsidRPr="00613923" w:rsidRDefault="00AF107F" w:rsidP="00AF107F">
      <w:pPr>
        <w:spacing w:line="276" w:lineRule="auto"/>
        <w:rPr>
          <w:rFonts w:cs="Arial"/>
        </w:rPr>
      </w:pPr>
      <w:r w:rsidRPr="00613923">
        <w:rPr>
          <w:rFonts w:cs="Arial"/>
        </w:rPr>
        <w:t xml:space="preserve">Le premier choix consiste à prendre appui sur le droit français et la loi-type de la CNUDCI sur l’arbitrage commercial international, afin de collecter dans chacun des textes les règles les plus appropriées. </w:t>
      </w:r>
    </w:p>
    <w:p w:rsidR="00AF107F" w:rsidRPr="00613923" w:rsidRDefault="00AF107F" w:rsidP="00AF107F">
      <w:pPr>
        <w:spacing w:line="276" w:lineRule="auto"/>
        <w:rPr>
          <w:rFonts w:cs="Arial"/>
        </w:rPr>
      </w:pPr>
    </w:p>
    <w:p w:rsidR="00AF107F" w:rsidRPr="00613923" w:rsidRDefault="00AF107F" w:rsidP="00AF107F">
      <w:pPr>
        <w:spacing w:line="276" w:lineRule="auto"/>
        <w:rPr>
          <w:rFonts w:cs="Arial"/>
        </w:rPr>
      </w:pPr>
      <w:r w:rsidRPr="00613923">
        <w:rPr>
          <w:rFonts w:cs="Arial"/>
        </w:rPr>
        <w:t>Le deuxième choix est de créer un régime libéral afin de faciliter le recours à l’arbitrage, tout en excluant certains types de litiges dans un souci de protection.</w:t>
      </w:r>
    </w:p>
    <w:p w:rsidR="00AF107F" w:rsidRPr="00613923" w:rsidRDefault="00AF107F" w:rsidP="00AF107F">
      <w:pPr>
        <w:spacing w:line="276" w:lineRule="auto"/>
        <w:rPr>
          <w:rFonts w:cs="Arial"/>
        </w:rPr>
      </w:pPr>
    </w:p>
    <w:p w:rsidR="00AF107F" w:rsidRPr="00613923" w:rsidRDefault="00AF107F" w:rsidP="00AF107F">
      <w:pPr>
        <w:spacing w:line="276" w:lineRule="auto"/>
        <w:rPr>
          <w:rFonts w:cs="Arial"/>
        </w:rPr>
      </w:pPr>
      <w:r w:rsidRPr="00613923">
        <w:rPr>
          <w:rFonts w:cs="Arial"/>
        </w:rPr>
        <w:lastRenderedPageBreak/>
        <w:t>Le troisième choix est celui de rejeter la distinction, pourtant existante en droit français, entre arbitrage interne et arbitrage international.</w:t>
      </w:r>
    </w:p>
    <w:p w:rsidR="00AF107F" w:rsidRPr="00613923" w:rsidRDefault="00AF107F" w:rsidP="00AF107F">
      <w:pPr>
        <w:spacing w:line="276" w:lineRule="auto"/>
        <w:rPr>
          <w:rFonts w:cs="Arial"/>
        </w:rPr>
      </w:pPr>
    </w:p>
    <w:p w:rsidR="00AF107F" w:rsidRPr="00613923" w:rsidRDefault="00AF107F" w:rsidP="00AF107F">
      <w:pPr>
        <w:spacing w:line="276" w:lineRule="auto"/>
        <w:rPr>
          <w:rFonts w:cs="Arial"/>
        </w:rPr>
      </w:pPr>
      <w:r w:rsidRPr="00613923">
        <w:rPr>
          <w:rFonts w:cs="Arial"/>
        </w:rPr>
        <w:t>Sur base de ces choix fondamentaux, c’est en fin de compte essentiellement le régime de l’arbitrage international en droit français qui a servi de modèle de référence pour le détail du texte proposé.</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07F"/>
    <w:rsid w:val="00033411"/>
    <w:rsid w:val="002D5A5C"/>
    <w:rsid w:val="00714B49"/>
    <w:rsid w:val="00A41D53"/>
    <w:rsid w:val="00AF107F"/>
    <w:rsid w:val="00C61690"/>
    <w:rsid w:val="00C6428D"/>
    <w:rsid w:val="00F25FD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345E57-497F-4C49-80A5-639750F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AF107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138B4CB-D908-4E7C-99F9-66CF6A786110}"/>
</file>

<file path=customXml/itemProps2.xml><?xml version="1.0" encoding="utf-8"?>
<ds:datastoreItem xmlns:ds="http://schemas.openxmlformats.org/officeDocument/2006/customXml" ds:itemID="{FB73A365-933C-4FC1-98E4-BD78A7DA30C2}"/>
</file>

<file path=customXml/itemProps3.xml><?xml version="1.0" encoding="utf-8"?>
<ds:datastoreItem xmlns:ds="http://schemas.openxmlformats.org/officeDocument/2006/customXml" ds:itemID="{C4E3DDB6-D71F-47B2-BC20-0F04AB0AF1BB}"/>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2797</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