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E8" w:rsidRPr="00B359E8" w:rsidRDefault="00B359E8" w:rsidP="00B359E8">
      <w:pPr>
        <w:tabs>
          <w:tab w:val="left" w:pos="10080"/>
          <w:tab w:val="left" w:pos="10800"/>
        </w:tabs>
        <w:ind w:right="-34"/>
        <w:jc w:val="center"/>
        <w:rPr>
          <w:rFonts w:cs="Arial"/>
          <w:b/>
          <w:sz w:val="22"/>
          <w:szCs w:val="22"/>
          <w:lang w:val="fr-LU"/>
        </w:rPr>
      </w:pPr>
      <w:bookmarkStart w:id="0" w:name="_Hlk58182979"/>
      <w:bookmarkStart w:id="1" w:name="_GoBack"/>
      <w:bookmarkEnd w:id="1"/>
      <w:r w:rsidRPr="00B359E8">
        <w:rPr>
          <w:rFonts w:cs="Arial"/>
          <w:b/>
          <w:snapToGrid w:val="0"/>
          <w:sz w:val="22"/>
          <w:szCs w:val="22"/>
          <w:lang w:val="fr-LU"/>
        </w:rPr>
        <w:t xml:space="preserve">Projet de loi concernant le budget des recettes et des dépenses de </w:t>
      </w:r>
      <w:r w:rsidRPr="00B359E8">
        <w:rPr>
          <w:rFonts w:cs="Arial"/>
          <w:b/>
          <w:sz w:val="22"/>
          <w:szCs w:val="22"/>
          <w:lang w:val="fr-LU"/>
        </w:rPr>
        <w:t>l’État</w:t>
      </w:r>
    </w:p>
    <w:p w:rsidR="00B359E8" w:rsidRPr="00B359E8" w:rsidRDefault="00B359E8" w:rsidP="00B359E8">
      <w:pPr>
        <w:widowControl w:val="0"/>
        <w:ind w:right="-34"/>
        <w:jc w:val="center"/>
        <w:rPr>
          <w:rFonts w:cs="Arial"/>
          <w:b/>
          <w:snapToGrid w:val="0"/>
          <w:sz w:val="22"/>
          <w:szCs w:val="22"/>
        </w:rPr>
      </w:pPr>
      <w:r w:rsidRPr="00B359E8">
        <w:rPr>
          <w:rFonts w:cs="Arial"/>
          <w:b/>
          <w:snapToGrid w:val="0"/>
          <w:sz w:val="22"/>
          <w:szCs w:val="22"/>
        </w:rPr>
        <w:t>pour l’exercice 2021 </w:t>
      </w:r>
    </w:p>
    <w:p w:rsidR="00B359E8" w:rsidRPr="006A1522" w:rsidRDefault="00B359E8" w:rsidP="00B359E8">
      <w:pPr>
        <w:keepNext/>
        <w:tabs>
          <w:tab w:val="left" w:pos="10080"/>
          <w:tab w:val="left" w:pos="10800"/>
        </w:tabs>
        <w:ind w:right="-34"/>
        <w:rPr>
          <w:rFonts w:cs="Calibri"/>
          <w:b/>
          <w:sz w:val="22"/>
          <w:szCs w:val="22"/>
          <w:lang w:val="fr-FR"/>
        </w:rPr>
      </w:pPr>
    </w:p>
    <w:p w:rsidR="00B359E8" w:rsidRPr="002358A6" w:rsidRDefault="00B359E8" w:rsidP="00B359E8">
      <w:pPr>
        <w:tabs>
          <w:tab w:val="left" w:pos="284"/>
        </w:tabs>
        <w:autoSpaceDE w:val="0"/>
        <w:autoSpaceDN w:val="0"/>
        <w:adjustRightInd w:val="0"/>
        <w:rPr>
          <w:rFonts w:cs="Arial"/>
          <w:b/>
          <w:bCs/>
          <w:sz w:val="22"/>
          <w:szCs w:val="22"/>
          <w:lang w:val="fr-FR"/>
        </w:rPr>
      </w:pPr>
      <w:r w:rsidRPr="002358A6">
        <w:rPr>
          <w:rFonts w:cs="Arial"/>
          <w:b/>
          <w:bCs/>
          <w:sz w:val="22"/>
          <w:szCs w:val="22"/>
          <w:lang w:val="fr-FR"/>
        </w:rPr>
        <w:t>et modifiant :</w:t>
      </w:r>
    </w:p>
    <w:p w:rsidR="00B359E8" w:rsidRPr="002358A6" w:rsidRDefault="00B359E8" w:rsidP="00B359E8">
      <w:pPr>
        <w:tabs>
          <w:tab w:val="left" w:pos="284"/>
        </w:tabs>
        <w:autoSpaceDE w:val="0"/>
        <w:autoSpaceDN w:val="0"/>
        <w:adjustRightInd w:val="0"/>
        <w:rPr>
          <w:rFonts w:cs="Arial"/>
          <w:b/>
          <w:bCs/>
          <w:sz w:val="22"/>
          <w:szCs w:val="22"/>
          <w:lang w:val="fr-FR"/>
        </w:rPr>
      </w:pP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 xml:space="preserve">la loi </w:t>
      </w:r>
      <w:bookmarkStart w:id="2" w:name="_Hlk58182678"/>
      <w:r w:rsidRPr="002358A6">
        <w:rPr>
          <w:rFonts w:cs="Arial"/>
          <w:b/>
          <w:bCs/>
          <w:szCs w:val="22"/>
        </w:rPr>
        <w:t>modifiée du 23 décembre 1913 concernant la révision de la législation qui régit les impôts dont le recouvrement est attribué à l’administration de l’enregistrement et des domaines </w:t>
      </w:r>
      <w:bookmarkEnd w:id="2"/>
      <w:r w:rsidRPr="006A1522">
        <w:rPr>
          <w:rFonts w:cs="Arial"/>
          <w:b/>
          <w:bCs/>
          <w:color w:val="000000"/>
          <w:szCs w:val="22"/>
        </w:rPr>
        <w:t>;</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générale des impôts modifiée du 22 mai 1931 (« Abgabenordnung »)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27 novembre 1933 concernant le recouvrement des contributions directes, des droits d'accise sur l'eau-de-vie et des cotisations d'assurance sociale ;</w:t>
      </w: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la loi modifiée du 9 juillet 1937 sur l’impôt sur les assurances ;</w:t>
      </w:r>
    </w:p>
    <w:p w:rsidR="00B359E8" w:rsidRPr="006A1522" w:rsidRDefault="00B359E8" w:rsidP="00B359E8">
      <w:pPr>
        <w:pStyle w:val="Paragraphedeliste"/>
        <w:numPr>
          <w:ilvl w:val="0"/>
          <w:numId w:val="21"/>
        </w:numPr>
        <w:jc w:val="both"/>
        <w:rPr>
          <w:rFonts w:cs="Arial"/>
          <w:b/>
          <w:bCs/>
          <w:color w:val="000000"/>
          <w:szCs w:val="22"/>
        </w:rPr>
      </w:pPr>
      <w:r w:rsidRPr="006A1522">
        <w:rPr>
          <w:rFonts w:cs="Arial"/>
          <w:b/>
          <w:bCs/>
          <w:color w:val="000000"/>
          <w:szCs w:val="22"/>
        </w:rPr>
        <w:t>la loi modifiée du 1</w:t>
      </w:r>
      <w:r w:rsidRPr="006A1522">
        <w:rPr>
          <w:rFonts w:cs="Arial"/>
          <w:b/>
          <w:bCs/>
          <w:color w:val="000000"/>
          <w:szCs w:val="22"/>
          <w:vertAlign w:val="superscript"/>
        </w:rPr>
        <w:t>er</w:t>
      </w:r>
      <w:r w:rsidRPr="006A1522">
        <w:rPr>
          <w:rFonts w:cs="Arial"/>
          <w:b/>
          <w:bCs/>
          <w:color w:val="000000"/>
          <w:szCs w:val="22"/>
        </w:rPr>
        <w:t xml:space="preserve"> février 1939 sur l'impôt dans l'intérêt du service d'incendie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28 janvier 1948 tendant à assurer la juste et exacte perception des droits d’enregistrement et de succession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22 juin 1963 fixant le régime des traitements des fonctionnaires de l’État ;</w:t>
      </w: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la loi modifiée du 4 décembre 1967 concernant l’impôt sur le revenu ;</w:t>
      </w:r>
    </w:p>
    <w:p w:rsidR="00B359E8" w:rsidRPr="006A1522" w:rsidRDefault="00B359E8" w:rsidP="00B359E8">
      <w:pPr>
        <w:pStyle w:val="Paragraphedeliste"/>
        <w:numPr>
          <w:ilvl w:val="0"/>
          <w:numId w:val="21"/>
        </w:numPr>
        <w:jc w:val="both"/>
        <w:rPr>
          <w:rFonts w:cs="Arial"/>
          <w:b/>
          <w:bCs/>
          <w:color w:val="000000"/>
          <w:szCs w:val="22"/>
        </w:rPr>
      </w:pPr>
      <w:r w:rsidRPr="006A1522">
        <w:rPr>
          <w:rFonts w:cs="Arial"/>
          <w:b/>
          <w:bCs/>
          <w:color w:val="000000"/>
          <w:szCs w:val="22"/>
        </w:rPr>
        <w:t>la loi modifiée du 12 février 1979 concernant la taxe sur la valeur ajoutée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z w:val="22"/>
          <w:szCs w:val="22"/>
        </w:rPr>
        <w:t>la loi modifiée du 25 février 1979 concernant l’aide au logement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napToGrid w:val="0"/>
          <w:sz w:val="22"/>
          <w:szCs w:val="22"/>
        </w:rPr>
        <w:t>la loi modifiée du 14 mai 1997 relative à la participation à des institutions financières internationales ;</w:t>
      </w:r>
    </w:p>
    <w:p w:rsidR="00B359E8" w:rsidRPr="002358A6" w:rsidRDefault="00B359E8" w:rsidP="00B359E8">
      <w:pPr>
        <w:pStyle w:val="Sansinterligne"/>
        <w:numPr>
          <w:ilvl w:val="0"/>
          <w:numId w:val="21"/>
        </w:numPr>
        <w:rPr>
          <w:rFonts w:ascii="Arial" w:hAnsi="Arial" w:cs="Arial"/>
          <w:b/>
          <w:bCs/>
          <w:sz w:val="22"/>
          <w:szCs w:val="22"/>
        </w:rPr>
      </w:pPr>
      <w:r w:rsidRPr="002358A6">
        <w:rPr>
          <w:rFonts w:ascii="Arial" w:hAnsi="Arial" w:cs="Arial"/>
          <w:b/>
          <w:bCs/>
          <w:snapToGrid w:val="0"/>
          <w:sz w:val="22"/>
          <w:szCs w:val="22"/>
        </w:rPr>
        <w:t>la loi modifiée du 27 juillet 1997 sur le contrat d’assurance ;</w:t>
      </w:r>
    </w:p>
    <w:p w:rsidR="00B359E8" w:rsidRPr="002358A6" w:rsidRDefault="00B359E8" w:rsidP="00B359E8">
      <w:pPr>
        <w:pStyle w:val="Sansinterligne"/>
        <w:numPr>
          <w:ilvl w:val="0"/>
          <w:numId w:val="21"/>
        </w:numPr>
        <w:rPr>
          <w:rFonts w:ascii="Arial" w:hAnsi="Arial" w:cs="Arial"/>
          <w:b/>
          <w:bCs/>
          <w:sz w:val="22"/>
          <w:szCs w:val="22"/>
        </w:rPr>
      </w:pPr>
      <w:r w:rsidRPr="002358A6">
        <w:rPr>
          <w:rFonts w:ascii="Arial" w:hAnsi="Arial" w:cs="Arial"/>
          <w:b/>
          <w:bCs/>
          <w:sz w:val="22"/>
          <w:szCs w:val="22"/>
        </w:rPr>
        <w:t>la loi modifiée du 28 avril 1998 portant </w:t>
      </w:r>
    </w:p>
    <w:p w:rsidR="00B359E8" w:rsidRPr="002358A6" w:rsidRDefault="00B359E8" w:rsidP="00B359E8">
      <w:pPr>
        <w:pStyle w:val="Sansinterligne"/>
        <w:numPr>
          <w:ilvl w:val="1"/>
          <w:numId w:val="20"/>
        </w:numPr>
        <w:ind w:left="1134" w:hanging="283"/>
        <w:rPr>
          <w:rFonts w:ascii="Arial" w:hAnsi="Arial" w:cs="Arial"/>
          <w:b/>
          <w:bCs/>
          <w:sz w:val="22"/>
          <w:szCs w:val="22"/>
        </w:rPr>
      </w:pPr>
      <w:r w:rsidRPr="002358A6">
        <w:rPr>
          <w:rFonts w:ascii="Arial" w:hAnsi="Arial" w:cs="Arial"/>
          <w:b/>
          <w:bCs/>
          <w:sz w:val="22"/>
          <w:szCs w:val="22"/>
        </w:rPr>
        <w:t>harmonisation de l’enseignement musical dans le secteur communal ;</w:t>
      </w:r>
    </w:p>
    <w:p w:rsidR="00B359E8" w:rsidRPr="002358A6" w:rsidRDefault="00B359E8" w:rsidP="00B359E8">
      <w:pPr>
        <w:pStyle w:val="Sansinterligne"/>
        <w:numPr>
          <w:ilvl w:val="1"/>
          <w:numId w:val="20"/>
        </w:numPr>
        <w:ind w:left="1134" w:hanging="283"/>
        <w:rPr>
          <w:rFonts w:ascii="Arial" w:hAnsi="Arial" w:cs="Arial"/>
          <w:b/>
          <w:bCs/>
          <w:sz w:val="22"/>
          <w:szCs w:val="22"/>
        </w:rPr>
      </w:pPr>
      <w:r w:rsidRPr="002358A6">
        <w:rPr>
          <w:rFonts w:ascii="Arial" w:hAnsi="Arial" w:cs="Arial"/>
          <w:b/>
          <w:bCs/>
          <w:sz w:val="22"/>
          <w:szCs w:val="22"/>
        </w:rPr>
        <w:t>modification de l’article 5 de la loi du 24 mai 1989 sur le contrat de travail ;</w:t>
      </w:r>
    </w:p>
    <w:p w:rsidR="00B359E8" w:rsidRPr="002358A6" w:rsidRDefault="00B359E8" w:rsidP="00B359E8">
      <w:pPr>
        <w:pStyle w:val="Sansinterligne"/>
        <w:numPr>
          <w:ilvl w:val="1"/>
          <w:numId w:val="20"/>
        </w:numPr>
        <w:ind w:left="1134" w:hanging="283"/>
        <w:jc w:val="both"/>
        <w:rPr>
          <w:rFonts w:ascii="Arial" w:hAnsi="Arial" w:cs="Arial"/>
          <w:b/>
          <w:bCs/>
          <w:sz w:val="22"/>
          <w:szCs w:val="22"/>
        </w:rPr>
      </w:pPr>
      <w:r w:rsidRPr="002358A6">
        <w:rPr>
          <w:rFonts w:ascii="Arial" w:hAnsi="Arial" w:cs="Arial"/>
          <w:b/>
          <w:bCs/>
          <w:sz w:val="22"/>
          <w:szCs w:val="22"/>
        </w:rPr>
        <w:t>modification de la loi modifiée du 22 juin 1963 fixant le régime des traitements des fonctionnaires de l’Etat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z w:val="22"/>
          <w:szCs w:val="22"/>
        </w:rPr>
        <w:t>la loi modifiée du 21 décembre 1998 concernant le budget des recettes et des dépenses de l’État pour l’exercice 1999 ;</w:t>
      </w:r>
    </w:p>
    <w:p w:rsidR="00B359E8" w:rsidRPr="002358A6" w:rsidRDefault="00B359E8" w:rsidP="00B359E8">
      <w:pPr>
        <w:pStyle w:val="Paragraphedeliste"/>
        <w:numPr>
          <w:ilvl w:val="0"/>
          <w:numId w:val="22"/>
        </w:numPr>
        <w:jc w:val="both"/>
        <w:rPr>
          <w:rFonts w:cs="Arial"/>
          <w:b/>
          <w:bCs/>
          <w:szCs w:val="22"/>
        </w:rPr>
      </w:pPr>
      <w:r w:rsidRPr="006A1522">
        <w:rPr>
          <w:rFonts w:cs="Arial"/>
          <w:b/>
          <w:bCs/>
          <w:color w:val="000000"/>
          <w:szCs w:val="22"/>
        </w:rPr>
        <w:t>la loi modifiée du 11 mai 2007 relative à la création d’une société de gestion de patrimoine familial (« SPF »)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la loi modifiée du 16 décembre 2008 concernant l’intégration des étrangers au Grand-Duché de Luxembourg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du 19 décembre 2008 portant révision du régime applicable à certains actes de société en matière de droits d’enregistrement, portant transposition de la directive 2008/7/CE du Conseil du 12 février 2008 concernant les impôts indirects frappant les rassemblements de capitaux, modifiant: la loi modifiée du 7 août 1920, portant majoration des droits d'enregistrement, de timbre, de succession, etc., la loi modifiée du 20 décembre 2002 concernant les organismes de placement collectif, la loi du 22 mars 2004 relative à la titrisation, la loi modifiée du 15 juin 2004 relative à la société d'investissement en capital à risque (SICAR), la loi modifiée du 13 juillet 2005 relative aux institutions de retraite professionnelle sous forme de sepcav et assep, la loi du 13 février 2007 relative aux fonds d'investissement spécialisés, et abrogeant la loi modifiée du 29 décembre 1971 concernant l'impôt frappant les rassemblements de capitaux dans les sociétés civiles et commerciales et portant révision de certaines dispositions législatives régissant la perception des droits d'enregistrement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modifiée du 17 décembre 2010 concernant les organismes de placement collectif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lastRenderedPageBreak/>
        <w:t>la loi modifiée du 17 décembre 2010 fixant les droits d’accise et les taxes assimilées sur les produits énergétiques, l’électricité, les produits de tabacs manufacturés, l’alcool et les boissons alcooliques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modifiée du 25 mars 2015 fixant le régime des traitements et les conditions et modalités d’avancement des fonctionnaires de l’Etat ;</w:t>
      </w:r>
    </w:p>
    <w:p w:rsidR="00B359E8" w:rsidRPr="002358A6" w:rsidRDefault="00B359E8" w:rsidP="00B359E8">
      <w:pPr>
        <w:pStyle w:val="Sansinterligne"/>
        <w:numPr>
          <w:ilvl w:val="0"/>
          <w:numId w:val="22"/>
        </w:numPr>
        <w:rPr>
          <w:rFonts w:ascii="Arial" w:hAnsi="Arial" w:cs="Arial"/>
          <w:b/>
          <w:bCs/>
          <w:sz w:val="22"/>
          <w:szCs w:val="22"/>
        </w:rPr>
      </w:pPr>
      <w:r w:rsidRPr="006A1522">
        <w:rPr>
          <w:rFonts w:ascii="Arial" w:hAnsi="Arial" w:cs="Arial"/>
          <w:b/>
          <w:bCs/>
          <w:color w:val="000000"/>
          <w:sz w:val="22"/>
          <w:szCs w:val="22"/>
        </w:rPr>
        <w:t>la loi du 23 juillet 2016 portant création d’un impôt dans l’intérêt des services de secours ;</w:t>
      </w:r>
      <w:r w:rsidRPr="002358A6">
        <w:rPr>
          <w:rFonts w:ascii="Arial" w:hAnsi="Arial" w:cs="Arial"/>
          <w:b/>
          <w:bCs/>
          <w:sz w:val="22"/>
          <w:szCs w:val="22"/>
        </w:rPr>
        <w:t xml:space="preserve">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 xml:space="preserve">la loi modifiée du 23 décembre 2016 </w:t>
      </w:r>
    </w:p>
    <w:p w:rsidR="00B359E8" w:rsidRPr="002358A6" w:rsidRDefault="00B359E8" w:rsidP="00B359E8">
      <w:pPr>
        <w:pStyle w:val="Paragraphedeliste"/>
        <w:ind w:left="851"/>
        <w:jc w:val="both"/>
        <w:rPr>
          <w:rFonts w:cs="Arial"/>
          <w:b/>
          <w:bCs/>
          <w:szCs w:val="22"/>
        </w:rPr>
      </w:pPr>
      <w:r w:rsidRPr="002358A6">
        <w:rPr>
          <w:rFonts w:cs="Arial"/>
          <w:b/>
          <w:bCs/>
          <w:szCs w:val="22"/>
        </w:rPr>
        <w:t xml:space="preserve">1. instituant un régime d’aides pour la promotion de la durabilité, de l’utilisation rationnelle de l’énergie et des énergies renouvelables dans le domaine du logement; </w:t>
      </w:r>
    </w:p>
    <w:p w:rsidR="00B359E8" w:rsidRPr="002358A6" w:rsidRDefault="00B359E8" w:rsidP="00B359E8">
      <w:pPr>
        <w:pStyle w:val="Paragraphedeliste"/>
        <w:ind w:left="851"/>
        <w:jc w:val="both"/>
        <w:rPr>
          <w:rFonts w:cs="Arial"/>
          <w:b/>
          <w:bCs/>
          <w:szCs w:val="22"/>
        </w:rPr>
      </w:pPr>
      <w:r w:rsidRPr="002358A6">
        <w:rPr>
          <w:rFonts w:cs="Arial"/>
          <w:b/>
          <w:bCs/>
          <w:szCs w:val="22"/>
        </w:rPr>
        <w:t>2. modifiant la loi modifiée du 23 décembre 2004 établissant un système d'échange de quotas d'émission de gaz à effet de serre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la loi modifiée du 20 juillet 2017 ayant pour objet la mise en place d’un régime d’aide à l’investissement à finalité régionale ;</w:t>
      </w:r>
    </w:p>
    <w:p w:rsidR="00B359E8" w:rsidRPr="002358A6" w:rsidRDefault="00B359E8" w:rsidP="00B359E8">
      <w:pPr>
        <w:pStyle w:val="Sansinterligne"/>
        <w:numPr>
          <w:ilvl w:val="0"/>
          <w:numId w:val="22"/>
        </w:numPr>
        <w:rPr>
          <w:rFonts w:ascii="Arial" w:hAnsi="Arial" w:cs="Arial"/>
          <w:b/>
          <w:bCs/>
          <w:sz w:val="22"/>
          <w:szCs w:val="22"/>
        </w:rPr>
      </w:pPr>
      <w:r w:rsidRPr="002358A6">
        <w:rPr>
          <w:rFonts w:ascii="Arial" w:hAnsi="Arial" w:cs="Arial"/>
          <w:b/>
          <w:bCs/>
          <w:sz w:val="22"/>
          <w:szCs w:val="22"/>
        </w:rPr>
        <w:t>la loi modifiée du 28 juillet 2018 relative au revenu d’inclusion sociale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 xml:space="preserve">la loi du 15 décembre 2020 relative au climat </w:t>
      </w:r>
    </w:p>
    <w:p w:rsidR="00B359E8" w:rsidRPr="002358A6" w:rsidRDefault="00B359E8" w:rsidP="00B359E8">
      <w:pPr>
        <w:jc w:val="both"/>
        <w:rPr>
          <w:rFonts w:cs="Arial"/>
          <w:b/>
          <w:bCs/>
          <w:sz w:val="22"/>
          <w:szCs w:val="22"/>
          <w:lang w:val="fr-FR"/>
        </w:rPr>
      </w:pPr>
    </w:p>
    <w:p w:rsidR="00B359E8" w:rsidRPr="002358A6" w:rsidRDefault="00B359E8" w:rsidP="00B359E8">
      <w:pPr>
        <w:jc w:val="both"/>
        <w:rPr>
          <w:rFonts w:cs="Arial"/>
          <w:b/>
          <w:bCs/>
          <w:sz w:val="22"/>
          <w:szCs w:val="22"/>
          <w:lang w:val="fr-FR"/>
        </w:rPr>
      </w:pPr>
      <w:r w:rsidRPr="002358A6">
        <w:rPr>
          <w:rFonts w:cs="Arial"/>
          <w:b/>
          <w:bCs/>
          <w:sz w:val="22"/>
          <w:szCs w:val="22"/>
          <w:lang w:val="fr-FR"/>
        </w:rPr>
        <w:t>et portant abrogation de la loi modifiée du 22 décembre 1993 ayant pour objet la relance de l'investissement dans l'intérêt du développement économique</w:t>
      </w:r>
    </w:p>
    <w:bookmarkEnd w:id="0"/>
    <w:p w:rsidR="00ED0888" w:rsidRPr="00B359E8" w:rsidRDefault="00ED0888" w:rsidP="00ED0888">
      <w:pPr>
        <w:widowControl w:val="0"/>
        <w:tabs>
          <w:tab w:val="left" w:pos="10080"/>
          <w:tab w:val="left" w:pos="10800"/>
        </w:tabs>
        <w:ind w:right="159"/>
        <w:jc w:val="both"/>
        <w:rPr>
          <w:rFonts w:cs="Arial"/>
          <w:snapToGrid w:val="0"/>
          <w:color w:val="FF0000"/>
          <w:sz w:val="22"/>
          <w:szCs w:val="22"/>
          <w:lang w:val="fr-FR" w:eastAsia="en-US"/>
        </w:rPr>
      </w:pPr>
    </w:p>
    <w:p w:rsidR="002358A6" w:rsidRDefault="002358A6" w:rsidP="00BB664B">
      <w:pPr>
        <w:widowControl w:val="0"/>
        <w:tabs>
          <w:tab w:val="left" w:pos="10080"/>
          <w:tab w:val="left" w:pos="10800"/>
        </w:tabs>
        <w:ind w:right="159"/>
        <w:jc w:val="both"/>
        <w:rPr>
          <w:rFonts w:cs="Arial"/>
          <w:snapToGrid w:val="0"/>
          <w:color w:val="auto"/>
          <w:sz w:val="22"/>
          <w:szCs w:val="22"/>
          <w:lang w:val="fr-FR" w:eastAsia="en-US"/>
        </w:rPr>
      </w:pPr>
    </w:p>
    <w:p w:rsidR="00BB664B" w:rsidRPr="00BB664B" w:rsidRDefault="00ED0888" w:rsidP="00BB664B">
      <w:pPr>
        <w:widowControl w:val="0"/>
        <w:tabs>
          <w:tab w:val="left" w:pos="10080"/>
          <w:tab w:val="left" w:pos="10800"/>
        </w:tabs>
        <w:ind w:right="159"/>
        <w:jc w:val="both"/>
        <w:rPr>
          <w:rFonts w:cs="Arial"/>
          <w:snapToGrid w:val="0"/>
          <w:color w:val="auto"/>
          <w:sz w:val="22"/>
          <w:szCs w:val="22"/>
          <w:lang w:val="fr-FR" w:eastAsia="en-US"/>
        </w:rPr>
      </w:pPr>
      <w:r w:rsidRPr="00B359E8">
        <w:rPr>
          <w:rFonts w:cs="Arial"/>
          <w:snapToGrid w:val="0"/>
          <w:color w:val="auto"/>
          <w:sz w:val="22"/>
          <w:szCs w:val="22"/>
          <w:lang w:val="fr-FR" w:eastAsia="en-US"/>
        </w:rPr>
        <w:t>Le budget de l'État pour l'exercice 202</w:t>
      </w:r>
      <w:r w:rsidR="00B359E8" w:rsidRPr="00B359E8">
        <w:rPr>
          <w:rFonts w:cs="Arial"/>
          <w:snapToGrid w:val="0"/>
          <w:color w:val="auto"/>
          <w:sz w:val="22"/>
          <w:szCs w:val="22"/>
          <w:lang w:val="fr-FR" w:eastAsia="en-US"/>
        </w:rPr>
        <w:t>1</w:t>
      </w:r>
      <w:r w:rsidRPr="00B359E8">
        <w:rPr>
          <w:rFonts w:cs="Arial"/>
          <w:snapToGrid w:val="0"/>
          <w:color w:val="auto"/>
          <w:sz w:val="22"/>
          <w:szCs w:val="22"/>
          <w:lang w:val="fr-FR" w:eastAsia="en-US"/>
        </w:rPr>
        <w:t xml:space="preserve"> est arrêté aux montants suivants :</w:t>
      </w:r>
    </w:p>
    <w:p w:rsidR="00BB664B" w:rsidRDefault="00BB664B" w:rsidP="00FA59ED">
      <w:pPr>
        <w:jc w:val="both"/>
        <w:rPr>
          <w:rFonts w:cs="Arial"/>
          <w:color w:val="FF0000"/>
          <w:sz w:val="22"/>
          <w:szCs w:val="22"/>
          <w:u w:val="single"/>
          <w:lang w:val="fr-FR"/>
        </w:rPr>
      </w:pPr>
    </w:p>
    <w:tbl>
      <w:tblPr>
        <w:tblW w:w="8930" w:type="dxa"/>
        <w:tblInd w:w="213" w:type="dxa"/>
        <w:tblLayout w:type="fixed"/>
        <w:tblCellMar>
          <w:left w:w="71" w:type="dxa"/>
          <w:right w:w="71" w:type="dxa"/>
        </w:tblCellMar>
        <w:tblLook w:val="0000" w:firstRow="0" w:lastRow="0" w:firstColumn="0" w:lastColumn="0" w:noHBand="0" w:noVBand="0"/>
      </w:tblPr>
      <w:tblGrid>
        <w:gridCol w:w="4040"/>
        <w:gridCol w:w="709"/>
        <w:gridCol w:w="141"/>
        <w:gridCol w:w="1843"/>
        <w:gridCol w:w="213"/>
        <w:gridCol w:w="1984"/>
      </w:tblGrid>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Recettes courantes</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16 738 915 603</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Recettes en capital</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143 445 400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rPr>
          <w:trHeight w:val="277"/>
        </w:trPr>
        <w:tc>
          <w:tcPr>
            <w:tcW w:w="4040" w:type="dxa"/>
          </w:tcPr>
          <w:p w:rsidR="00BB664B" w:rsidRPr="00BB664B" w:rsidRDefault="00BB664B" w:rsidP="00BB664B">
            <w:pPr>
              <w:widowControl w:val="0"/>
              <w:tabs>
                <w:tab w:val="left" w:leader="dot" w:pos="3401"/>
                <w:tab w:val="left" w:pos="10080"/>
                <w:tab w:val="left" w:pos="10800"/>
              </w:tabs>
              <w:rPr>
                <w:rFonts w:eastAsia="Calibri" w:cs="Arial"/>
                <w:color w:val="auto"/>
                <w:sz w:val="22"/>
                <w:szCs w:val="22"/>
                <w:lang w:val="fr-FR" w:eastAsia="en-US"/>
              </w:rPr>
            </w:pPr>
            <w:r w:rsidRPr="00BB664B">
              <w:rPr>
                <w:rFonts w:eastAsia="Calibri" w:cs="Arial"/>
                <w:color w:val="auto"/>
                <w:sz w:val="22"/>
                <w:szCs w:val="22"/>
                <w:lang w:val="fr-FR" w:eastAsia="en-US"/>
              </w:rPr>
              <w:t>- Recettes des opérations financières</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2 679 226 400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rPr>
          <w:trHeight w:val="277"/>
        </w:trPr>
        <w:tc>
          <w:tcPr>
            <w:tcW w:w="4040" w:type="dxa"/>
          </w:tcPr>
          <w:p w:rsidR="00BB664B" w:rsidRPr="00BB664B" w:rsidRDefault="00BB664B" w:rsidP="00BB664B">
            <w:pPr>
              <w:widowControl w:val="0"/>
              <w:tabs>
                <w:tab w:val="left" w:leader="dot" w:pos="2835"/>
                <w:tab w:val="left" w:leader="dot" w:pos="3401"/>
                <w:tab w:val="left" w:pos="10080"/>
                <w:tab w:val="left" w:pos="10800"/>
              </w:tabs>
              <w:ind w:firstLine="737"/>
              <w:jc w:val="both"/>
              <w:rPr>
                <w:rFonts w:eastAsia="Calibri" w:cs="Arial"/>
                <w:color w:val="auto"/>
                <w:sz w:val="22"/>
                <w:szCs w:val="22"/>
                <w:lang w:val="fr-FR" w:eastAsia="en-US"/>
              </w:rPr>
            </w:pP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xml:space="preserve">- Dépenses courantes </w:t>
            </w:r>
            <w:r w:rsidRPr="00BB664B">
              <w:rPr>
                <w:rFonts w:eastAsia="Calibri" w:cs="Arial"/>
                <w:color w:val="auto"/>
                <w:sz w:val="22"/>
                <w:szCs w:val="22"/>
                <w:lang w:val="fr-FR" w:eastAsia="en-US"/>
              </w:rPr>
              <w:tab/>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16 876 274 890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leader="dot" w:pos="3473"/>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xml:space="preserve">- Dépenses en capital </w:t>
            </w:r>
            <w:r w:rsidRPr="00BB664B">
              <w:rPr>
                <w:rFonts w:eastAsia="Calibri" w:cs="Arial"/>
                <w:color w:val="auto"/>
                <w:sz w:val="22"/>
                <w:szCs w:val="22"/>
                <w:lang w:val="fr-FR" w:eastAsia="en-US"/>
              </w:rPr>
              <w:tab/>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2 466 734 092</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rPr>
                <w:rFonts w:eastAsia="Calibri" w:cs="Arial"/>
                <w:color w:val="auto"/>
                <w:sz w:val="22"/>
                <w:szCs w:val="22"/>
                <w:lang w:val="fr-FR" w:eastAsia="en-US"/>
              </w:rPr>
            </w:pPr>
            <w:r w:rsidRPr="00BB664B">
              <w:rPr>
                <w:rFonts w:eastAsia="Calibri" w:cs="Arial"/>
                <w:color w:val="auto"/>
                <w:sz w:val="22"/>
                <w:szCs w:val="22"/>
                <w:lang w:val="fr-FR" w:eastAsia="en-US"/>
              </w:rPr>
              <w:t>- Dépenses des opérations financières</w:t>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233 565 350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bl>
    <w:p w:rsidR="005B6707" w:rsidRDefault="005B6707" w:rsidP="00FA59ED">
      <w:pPr>
        <w:jc w:val="both"/>
        <w:rPr>
          <w:rFonts w:cs="Arial"/>
          <w:color w:val="FF0000"/>
          <w:sz w:val="22"/>
          <w:szCs w:val="22"/>
          <w:u w:val="single"/>
          <w:lang w:val="fr-FR"/>
        </w:rPr>
      </w:pPr>
    </w:p>
    <w:p w:rsidR="002358A6" w:rsidRDefault="002358A6" w:rsidP="00FA59ED">
      <w:pPr>
        <w:jc w:val="both"/>
        <w:rPr>
          <w:rFonts w:cs="Arial"/>
          <w:color w:val="FF0000"/>
          <w:sz w:val="22"/>
          <w:szCs w:val="22"/>
          <w:u w:val="single"/>
          <w:lang w:val="fr-FR"/>
        </w:rPr>
      </w:pPr>
    </w:p>
    <w:p w:rsidR="005B6707" w:rsidRPr="003D232F" w:rsidRDefault="005B6707" w:rsidP="005B6707">
      <w:pPr>
        <w:jc w:val="both"/>
        <w:rPr>
          <w:rFonts w:cs="Arial"/>
          <w:sz w:val="22"/>
          <w:szCs w:val="22"/>
          <w:lang w:val="fr-FR"/>
        </w:rPr>
      </w:pPr>
      <w:r w:rsidRPr="003D232F">
        <w:rPr>
          <w:rFonts w:cs="Arial"/>
          <w:color w:val="auto"/>
          <w:sz w:val="22"/>
          <w:szCs w:val="22"/>
          <w:u w:val="single"/>
          <w:lang w:val="fr-FR"/>
        </w:rPr>
        <w:t>L’article 3</w:t>
      </w:r>
      <w:r w:rsidRPr="003D232F">
        <w:rPr>
          <w:rFonts w:cs="Arial"/>
          <w:color w:val="auto"/>
          <w:sz w:val="22"/>
          <w:szCs w:val="22"/>
          <w:lang w:val="fr-FR"/>
        </w:rPr>
        <w:t xml:space="preserve"> prévoit que </w:t>
      </w:r>
      <w:r w:rsidRPr="003D232F">
        <w:rPr>
          <w:rFonts w:cs="Arial"/>
          <w:sz w:val="22"/>
          <w:szCs w:val="22"/>
          <w:lang w:val="fr-FR"/>
        </w:rPr>
        <w:t xml:space="preserve">le </w:t>
      </w:r>
      <w:r w:rsidRPr="003D232F">
        <w:rPr>
          <w:rFonts w:cs="Arial"/>
          <w:sz w:val="22"/>
          <w:szCs w:val="22"/>
          <w:u w:val="single"/>
          <w:lang w:val="fr-FR"/>
        </w:rPr>
        <w:t>taux d’amortissement accéléré</w:t>
      </w:r>
      <w:r w:rsidRPr="003D232F">
        <w:rPr>
          <w:rFonts w:cs="Arial"/>
          <w:sz w:val="22"/>
          <w:szCs w:val="22"/>
          <w:lang w:val="fr-FR"/>
        </w:rPr>
        <w:t xml:space="preserve"> qu’il est admis de pratiquer à l’endroit d’immeubles ou parties d’immeubles bâtis, affectés au logement locatif, ne sera plus que de </w:t>
      </w:r>
      <w:r w:rsidRPr="003D232F">
        <w:rPr>
          <w:rFonts w:cs="Arial"/>
          <w:sz w:val="22"/>
          <w:szCs w:val="22"/>
          <w:u w:val="single"/>
          <w:lang w:val="fr-FR"/>
        </w:rPr>
        <w:t>4%</w:t>
      </w:r>
      <w:r w:rsidRPr="003D232F">
        <w:rPr>
          <w:rFonts w:cs="Arial"/>
          <w:sz w:val="22"/>
          <w:szCs w:val="22"/>
          <w:lang w:val="fr-FR"/>
        </w:rPr>
        <w:t xml:space="preserve">. Ce taux de 4% pourra seulement être applicable si l’achèvement remonte au début de l’exercice d’exploitation à moins de 5 ans. Par rapport aux dispositions actuellement en vigueur, le taux d’amortissement accéléré passe donc de 6% à 4% et l’âge maximal de l’immeuble bâti au début de l’exercice d’exploitation de 6 à 5 ans. L’article introduit également la notion de « </w:t>
      </w:r>
      <w:r w:rsidRPr="003D232F">
        <w:rPr>
          <w:rFonts w:cs="Arial"/>
          <w:sz w:val="22"/>
          <w:szCs w:val="22"/>
          <w:u w:val="single"/>
          <w:lang w:val="fr-FR"/>
        </w:rPr>
        <w:t>rénovation énergétique durable</w:t>
      </w:r>
      <w:r w:rsidRPr="003D232F">
        <w:rPr>
          <w:rFonts w:cs="Arial"/>
          <w:sz w:val="22"/>
          <w:szCs w:val="22"/>
          <w:lang w:val="fr-FR"/>
        </w:rPr>
        <w:t xml:space="preserve"> » et dispose qu’un taux d’amortissement de </w:t>
      </w:r>
      <w:r w:rsidRPr="003D232F">
        <w:rPr>
          <w:rFonts w:cs="Arial"/>
          <w:sz w:val="22"/>
          <w:szCs w:val="22"/>
          <w:u w:val="single"/>
          <w:lang w:val="fr-FR"/>
        </w:rPr>
        <w:t>6%</w:t>
      </w:r>
      <w:r w:rsidRPr="003D232F">
        <w:rPr>
          <w:rFonts w:cs="Arial"/>
          <w:sz w:val="22"/>
          <w:szCs w:val="22"/>
          <w:lang w:val="fr-FR"/>
        </w:rPr>
        <w:t xml:space="preserve"> est</w:t>
      </w:r>
      <w:r w:rsidR="003D232F" w:rsidRPr="003D232F">
        <w:rPr>
          <w:rFonts w:cs="Arial"/>
          <w:sz w:val="22"/>
          <w:szCs w:val="22"/>
          <w:lang w:val="fr-FR"/>
        </w:rPr>
        <w:t xml:space="preserve"> </w:t>
      </w:r>
      <w:r w:rsidRPr="003D232F">
        <w:rPr>
          <w:rFonts w:cs="Arial"/>
          <w:sz w:val="22"/>
          <w:szCs w:val="22"/>
          <w:lang w:val="fr-FR"/>
        </w:rPr>
        <w:t>admis à l’endroit de dépenses d’investissement relatives à une rénovation énergétique durable d’un immeuble bâti affecté au logement locatif si l’achèvement des travaux de rénovation remonte au 1</w:t>
      </w:r>
      <w:r w:rsidRPr="003D232F">
        <w:rPr>
          <w:rFonts w:cs="Arial"/>
          <w:sz w:val="22"/>
          <w:szCs w:val="22"/>
          <w:vertAlign w:val="superscript"/>
          <w:lang w:val="fr-FR"/>
        </w:rPr>
        <w:t>er</w:t>
      </w:r>
      <w:r w:rsidRPr="003D232F">
        <w:rPr>
          <w:rFonts w:cs="Arial"/>
          <w:sz w:val="22"/>
          <w:szCs w:val="22"/>
          <w:lang w:val="fr-FR"/>
        </w:rPr>
        <w:t xml:space="preserve"> janvier de l’année d’imposition à moins de 9 ans. </w:t>
      </w:r>
      <w:r w:rsidR="003D232F" w:rsidRPr="003D232F">
        <w:rPr>
          <w:rFonts w:cs="Arial"/>
          <w:sz w:val="22"/>
          <w:szCs w:val="22"/>
          <w:lang w:val="fr-FR"/>
        </w:rPr>
        <w:t>Le contribuable qui a acquis ou constitué avant le 1</w:t>
      </w:r>
      <w:r w:rsidR="003D232F" w:rsidRPr="003D232F">
        <w:rPr>
          <w:rFonts w:cs="Arial"/>
          <w:sz w:val="22"/>
          <w:szCs w:val="22"/>
          <w:vertAlign w:val="superscript"/>
          <w:lang w:val="fr-FR"/>
        </w:rPr>
        <w:t>er</w:t>
      </w:r>
      <w:r w:rsidR="003D232F" w:rsidRPr="003D232F">
        <w:rPr>
          <w:rFonts w:cs="Arial"/>
          <w:sz w:val="22"/>
          <w:szCs w:val="22"/>
          <w:lang w:val="fr-FR"/>
        </w:rPr>
        <w:t xml:space="preserve"> janvier 2021 un immeuble bâti affecté au logement locatif pourra encore profiter du taux d’amortissement accéléré de 6% si toutes les conditions sont remplies.</w:t>
      </w:r>
    </w:p>
    <w:p w:rsidR="005B6707" w:rsidRPr="003D232F" w:rsidRDefault="005B6707" w:rsidP="005B6707">
      <w:pPr>
        <w:jc w:val="both"/>
        <w:rPr>
          <w:rFonts w:cs="Arial"/>
          <w:sz w:val="22"/>
          <w:szCs w:val="22"/>
          <w:lang w:val="fr-FR"/>
        </w:rPr>
      </w:pPr>
    </w:p>
    <w:p w:rsidR="002358A6" w:rsidRPr="002358A6" w:rsidRDefault="002358A6" w:rsidP="002358A6">
      <w:pPr>
        <w:jc w:val="both"/>
        <w:rPr>
          <w:rFonts w:eastAsia="Arial" w:cs="Arial"/>
          <w:sz w:val="22"/>
          <w:szCs w:val="22"/>
          <w:lang w:val="fr-LU"/>
        </w:rPr>
      </w:pPr>
      <w:r>
        <w:rPr>
          <w:rFonts w:eastAsia="Arial" w:cs="Arial"/>
          <w:sz w:val="22"/>
          <w:lang w:val="fr-LU"/>
        </w:rPr>
        <w:t xml:space="preserve">L’article 3 permet </w:t>
      </w:r>
      <w:r w:rsidRPr="002358A6">
        <w:rPr>
          <w:rFonts w:eastAsia="Arial" w:cs="Arial"/>
          <w:sz w:val="22"/>
          <w:lang w:val="fr-LU"/>
        </w:rPr>
        <w:t xml:space="preserve">d’exempter les contribuables impatriés sur certains coûts générés par leur déménagement de l’étranger vers le </w:t>
      </w:r>
      <w:r>
        <w:rPr>
          <w:rFonts w:eastAsia="Arial" w:cs="Arial"/>
          <w:sz w:val="22"/>
          <w:lang w:val="fr-LU"/>
        </w:rPr>
        <w:t xml:space="preserve">Luxembourg. </w:t>
      </w:r>
      <w:r w:rsidRPr="006A1522">
        <w:rPr>
          <w:rFonts w:cs="Calibri"/>
          <w:iCs/>
          <w:sz w:val="22"/>
          <w:szCs w:val="22"/>
          <w:lang w:val="fr-LU"/>
        </w:rPr>
        <w:t xml:space="preserve">L’employeur peut payer une </w:t>
      </w:r>
      <w:r w:rsidRPr="006A1522">
        <w:rPr>
          <w:rFonts w:cs="Calibri"/>
          <w:iCs/>
          <w:sz w:val="22"/>
          <w:szCs w:val="22"/>
          <w:u w:val="single"/>
          <w:lang w:val="fr-LU"/>
        </w:rPr>
        <w:t>prime d’impatriation</w:t>
      </w:r>
      <w:r w:rsidRPr="006A1522">
        <w:rPr>
          <w:rFonts w:cs="Calibri"/>
          <w:iCs/>
          <w:sz w:val="22"/>
          <w:szCs w:val="22"/>
          <w:lang w:val="fr-LU"/>
        </w:rPr>
        <w:t xml:space="preserve"> à l’impatrié.</w:t>
      </w:r>
      <w:r w:rsidRPr="002358A6">
        <w:rPr>
          <w:rFonts w:eastAsia="Arial" w:cs="Arial"/>
          <w:sz w:val="22"/>
          <w:szCs w:val="22"/>
          <w:lang w:val="fr-LU"/>
        </w:rPr>
        <w:t xml:space="preserve"> Sont </w:t>
      </w:r>
      <w:r w:rsidRPr="00956BA3">
        <w:rPr>
          <w:rFonts w:eastAsia="Arial" w:cs="Arial"/>
          <w:sz w:val="22"/>
          <w:szCs w:val="22"/>
          <w:lang w:val="fr-LU"/>
        </w:rPr>
        <w:t xml:space="preserve">exemptés </w:t>
      </w:r>
      <w:r w:rsidRPr="006A1522">
        <w:rPr>
          <w:rFonts w:cs="Calibri"/>
          <w:iCs/>
          <w:sz w:val="22"/>
          <w:szCs w:val="22"/>
          <w:lang w:val="fr-LU"/>
        </w:rPr>
        <w:t>50% de la prime d'impatriation ne dépassant pas 30% du montant brut de la rémunération annuelle a</w:t>
      </w:r>
      <w:r w:rsidRPr="006A1522">
        <w:rPr>
          <w:rFonts w:cs="Calibri"/>
          <w:sz w:val="22"/>
          <w:szCs w:val="22"/>
          <w:lang w:val="fr-LU"/>
        </w:rPr>
        <w:t>vant incorporation des avantages en espèces et en nature.</w:t>
      </w:r>
      <w:r w:rsidR="00956BA3">
        <w:rPr>
          <w:rFonts w:eastAsia="Arial" w:cs="Arial"/>
          <w:sz w:val="22"/>
          <w:szCs w:val="22"/>
          <w:lang w:val="fr-LU"/>
        </w:rPr>
        <w:t xml:space="preserve"> </w:t>
      </w:r>
      <w:r w:rsidRPr="006A1522">
        <w:rPr>
          <w:rFonts w:cs="Calibri"/>
          <w:sz w:val="22"/>
          <w:szCs w:val="22"/>
          <w:lang w:val="fr-LU"/>
        </w:rPr>
        <w:t>Les exemptions citées sont applicables aux impatriés pendant toute la durée de l’affectation du salarié en question, mais tout au plus jusqu’à la fin de la 8</w:t>
      </w:r>
      <w:r w:rsidRPr="006A1522">
        <w:rPr>
          <w:rFonts w:cs="Calibri"/>
          <w:sz w:val="22"/>
          <w:szCs w:val="22"/>
          <w:vertAlign w:val="superscript"/>
          <w:lang w:val="fr-LU"/>
        </w:rPr>
        <w:t>e</w:t>
      </w:r>
      <w:r w:rsidRPr="006A1522">
        <w:rPr>
          <w:rFonts w:cs="Calibri"/>
          <w:sz w:val="22"/>
          <w:szCs w:val="22"/>
          <w:lang w:val="fr-LU"/>
        </w:rPr>
        <w:t xml:space="preserve"> année d’imposition suivant celle de l’entrée en service du salarié au Grand-Duché.</w:t>
      </w:r>
    </w:p>
    <w:p w:rsidR="00917F7A" w:rsidRDefault="00917F7A" w:rsidP="00956BA3">
      <w:pPr>
        <w:jc w:val="both"/>
        <w:rPr>
          <w:rFonts w:cs="Arial"/>
          <w:sz w:val="22"/>
          <w:szCs w:val="22"/>
          <w:lang w:val="fr-LU"/>
        </w:rPr>
      </w:pPr>
    </w:p>
    <w:p w:rsidR="00956BA3" w:rsidRPr="00F167E9" w:rsidRDefault="00956BA3" w:rsidP="00956BA3">
      <w:pPr>
        <w:jc w:val="both"/>
        <w:rPr>
          <w:rFonts w:cs="Arial"/>
          <w:sz w:val="22"/>
          <w:szCs w:val="22"/>
          <w:lang w:val="fr-FR"/>
        </w:rPr>
      </w:pPr>
      <w:r w:rsidRPr="00956BA3">
        <w:rPr>
          <w:rFonts w:cs="Arial"/>
          <w:sz w:val="22"/>
          <w:szCs w:val="22"/>
          <w:lang w:val="fr-LU"/>
        </w:rPr>
        <w:t xml:space="preserve">L’article 3 </w:t>
      </w:r>
      <w:r w:rsidRPr="00DA4A2B">
        <w:rPr>
          <w:rFonts w:cs="Arial"/>
          <w:sz w:val="22"/>
          <w:szCs w:val="22"/>
          <w:lang w:val="fr-FR"/>
        </w:rPr>
        <w:t xml:space="preserve">introduit </w:t>
      </w:r>
      <w:r>
        <w:rPr>
          <w:rFonts w:cs="Arial"/>
          <w:sz w:val="22"/>
          <w:szCs w:val="22"/>
          <w:lang w:val="fr-FR"/>
        </w:rPr>
        <w:t xml:space="preserve">encore </w:t>
      </w:r>
      <w:r w:rsidRPr="00DA4A2B">
        <w:rPr>
          <w:rFonts w:cs="Arial"/>
          <w:sz w:val="22"/>
          <w:szCs w:val="22"/>
          <w:lang w:val="fr-FR"/>
        </w:rPr>
        <w:t xml:space="preserve">une </w:t>
      </w:r>
      <w:r w:rsidRPr="00956BA3">
        <w:rPr>
          <w:rFonts w:cs="Arial"/>
          <w:sz w:val="22"/>
          <w:szCs w:val="22"/>
          <w:u w:val="single"/>
          <w:lang w:val="fr-FR"/>
        </w:rPr>
        <w:t>exemption à hauteur de 50%</w:t>
      </w:r>
      <w:r>
        <w:rPr>
          <w:rFonts w:cs="Arial"/>
          <w:sz w:val="22"/>
          <w:szCs w:val="22"/>
          <w:lang w:val="fr-FR"/>
        </w:rPr>
        <w:t xml:space="preserve"> </w:t>
      </w:r>
      <w:r w:rsidRPr="00DA4A2B">
        <w:rPr>
          <w:rFonts w:cs="Arial"/>
          <w:sz w:val="22"/>
          <w:szCs w:val="22"/>
          <w:lang w:val="fr-FR"/>
        </w:rPr>
        <w:t xml:space="preserve">lors du paiement d’une </w:t>
      </w:r>
      <w:r w:rsidRPr="00956BA3">
        <w:rPr>
          <w:rFonts w:cs="Arial"/>
          <w:sz w:val="22"/>
          <w:szCs w:val="22"/>
          <w:u w:val="single"/>
          <w:lang w:val="fr-FR"/>
        </w:rPr>
        <w:t>prime participative</w:t>
      </w:r>
      <w:r w:rsidRPr="00DA4A2B">
        <w:rPr>
          <w:rFonts w:cs="Arial"/>
          <w:sz w:val="22"/>
          <w:szCs w:val="22"/>
          <w:lang w:val="fr-FR"/>
        </w:rPr>
        <w:t xml:space="preserve"> établie en fonction du résultat de l’exercice d’exploitation de l’employeur</w:t>
      </w:r>
      <w:r>
        <w:rPr>
          <w:rFonts w:cs="Arial"/>
          <w:sz w:val="22"/>
          <w:szCs w:val="22"/>
          <w:lang w:val="fr-FR"/>
        </w:rPr>
        <w:t xml:space="preserve">. </w:t>
      </w:r>
      <w:r w:rsidRPr="00F167E9">
        <w:rPr>
          <w:rFonts w:cs="Arial"/>
          <w:sz w:val="22"/>
          <w:szCs w:val="22"/>
          <w:lang w:val="fr-FR"/>
        </w:rPr>
        <w:t xml:space="preserve">L’exemption de la prime participative est </w:t>
      </w:r>
      <w:r w:rsidRPr="00F167E9">
        <w:rPr>
          <w:rFonts w:cs="Arial"/>
          <w:sz w:val="22"/>
          <w:szCs w:val="22"/>
          <w:u w:val="single"/>
          <w:lang w:val="fr-FR"/>
        </w:rPr>
        <w:t>limitée à 25% du montant brut de la rémunération annuelle</w:t>
      </w:r>
      <w:r w:rsidRPr="00F167E9">
        <w:rPr>
          <w:rFonts w:cs="Arial"/>
          <w:sz w:val="22"/>
          <w:szCs w:val="22"/>
          <w:lang w:val="fr-FR"/>
        </w:rPr>
        <w:t>, avant incorporation des avantages en espèces et en nature, de l’année d’imposition au cours de laquelle la prime participative est allouée au salarié.</w:t>
      </w:r>
    </w:p>
    <w:p w:rsidR="002358A6" w:rsidRPr="006A1522" w:rsidRDefault="002358A6" w:rsidP="002358A6">
      <w:pPr>
        <w:autoSpaceDE w:val="0"/>
        <w:autoSpaceDN w:val="0"/>
        <w:adjustRightInd w:val="0"/>
        <w:jc w:val="both"/>
        <w:rPr>
          <w:rFonts w:cs="Calibri"/>
          <w:iCs/>
          <w:sz w:val="22"/>
          <w:szCs w:val="22"/>
          <w:lang w:val="fr-FR"/>
        </w:rPr>
      </w:pPr>
    </w:p>
    <w:p w:rsidR="00963A2E" w:rsidRPr="006A1522" w:rsidRDefault="00963A2E" w:rsidP="00963A2E">
      <w:pPr>
        <w:jc w:val="both"/>
        <w:rPr>
          <w:rFonts w:ascii="Calibri" w:hAnsi="Calibri" w:cs="Calibri"/>
          <w:color w:val="C00000"/>
          <w:sz w:val="22"/>
          <w:szCs w:val="22"/>
          <w:lang w:val="fr-FR"/>
        </w:rPr>
      </w:pPr>
      <w:r w:rsidRPr="00963A2E">
        <w:rPr>
          <w:rFonts w:cs="Arial"/>
          <w:sz w:val="22"/>
          <w:u w:val="single"/>
          <w:lang w:val="fr-LU"/>
        </w:rPr>
        <w:t>L’article 3,</w:t>
      </w:r>
      <w:r w:rsidRPr="00963A2E">
        <w:rPr>
          <w:rFonts w:cs="Arial"/>
          <w:b/>
          <w:bCs/>
          <w:sz w:val="22"/>
          <w:u w:val="single"/>
          <w:lang w:val="fr-LU"/>
        </w:rPr>
        <w:t xml:space="preserve"> </w:t>
      </w:r>
      <w:r w:rsidRPr="00310D8B">
        <w:rPr>
          <w:rFonts w:cs="Arial"/>
          <w:sz w:val="22"/>
          <w:szCs w:val="22"/>
          <w:lang w:val="fr-FR"/>
        </w:rPr>
        <w:t>donne la possibilité à l’employeur de faire usage de la nouvelle solution de mise à disposition électronique des fiches dont la mise en place par l’administration des contributions directes (« ACD ») est prévue en cours d’année 2021</w:t>
      </w:r>
      <w:r>
        <w:rPr>
          <w:rFonts w:cs="Arial"/>
          <w:sz w:val="22"/>
          <w:szCs w:val="22"/>
          <w:lang w:val="fr-FR"/>
        </w:rPr>
        <w:t xml:space="preserve"> ; </w:t>
      </w:r>
      <w:r w:rsidRPr="00C73C7F">
        <w:rPr>
          <w:rFonts w:cs="Arial"/>
          <w:sz w:val="22"/>
          <w:szCs w:val="22"/>
          <w:lang w:val="fr-FR"/>
        </w:rPr>
        <w:t xml:space="preserve">cette </w:t>
      </w:r>
      <w:r w:rsidRPr="00737BA2">
        <w:rPr>
          <w:rFonts w:cs="Arial"/>
          <w:sz w:val="22"/>
          <w:szCs w:val="22"/>
          <w:u w:val="single"/>
          <w:lang w:val="fr-FR"/>
        </w:rPr>
        <w:t>nouvelle plateforme électronique</w:t>
      </w:r>
      <w:r w:rsidRPr="00C73C7F">
        <w:rPr>
          <w:rFonts w:cs="Arial"/>
          <w:sz w:val="22"/>
          <w:szCs w:val="22"/>
          <w:lang w:val="fr-FR"/>
        </w:rPr>
        <w:t xml:space="preserve"> permettra aux </w:t>
      </w:r>
      <w:r w:rsidRPr="00963A2E">
        <w:rPr>
          <w:rFonts w:cs="Arial"/>
          <w:sz w:val="22"/>
          <w:szCs w:val="22"/>
          <w:u w:val="single"/>
          <w:lang w:val="fr-FR"/>
        </w:rPr>
        <w:t>employeurs</w:t>
      </w:r>
      <w:r w:rsidRPr="00963A2E">
        <w:rPr>
          <w:rFonts w:cs="Arial"/>
          <w:sz w:val="22"/>
          <w:szCs w:val="22"/>
          <w:lang w:val="fr-FR"/>
        </w:rPr>
        <w:t xml:space="preserve"> l’</w:t>
      </w:r>
      <w:r w:rsidRPr="00963A2E">
        <w:rPr>
          <w:rFonts w:cs="Arial"/>
          <w:sz w:val="22"/>
          <w:szCs w:val="22"/>
          <w:u w:val="single"/>
          <w:lang w:val="fr-FR"/>
        </w:rPr>
        <w:t>accès aux fiches de retenue de leurs salariés sous forme électronique</w:t>
      </w:r>
      <w:r w:rsidRPr="00963A2E">
        <w:rPr>
          <w:rFonts w:cs="Arial"/>
          <w:sz w:val="22"/>
          <w:szCs w:val="22"/>
          <w:lang w:val="fr-FR"/>
        </w:rPr>
        <w:t>.</w:t>
      </w:r>
      <w:r w:rsidRPr="006A1522">
        <w:rPr>
          <w:rFonts w:ascii="Calibri" w:hAnsi="Calibri" w:cs="Calibri"/>
          <w:color w:val="C00000"/>
          <w:sz w:val="22"/>
          <w:szCs w:val="22"/>
          <w:lang w:val="fr-FR"/>
        </w:rPr>
        <w:t xml:space="preserve"> </w:t>
      </w:r>
    </w:p>
    <w:p w:rsidR="00963A2E" w:rsidRPr="00C73C7F" w:rsidRDefault="00963A2E" w:rsidP="00963A2E">
      <w:pPr>
        <w:ind w:firstLine="426"/>
        <w:jc w:val="both"/>
        <w:rPr>
          <w:rFonts w:cs="Arial"/>
          <w:sz w:val="22"/>
          <w:szCs w:val="22"/>
          <w:lang w:val="fr-FR"/>
        </w:rPr>
      </w:pPr>
    </w:p>
    <w:p w:rsidR="009B15A1" w:rsidRPr="009B15A1" w:rsidRDefault="009B15A1" w:rsidP="009B15A1">
      <w:pPr>
        <w:jc w:val="both"/>
        <w:rPr>
          <w:rFonts w:cs="Arial"/>
          <w:sz w:val="22"/>
          <w:lang w:val="fr-FR"/>
        </w:rPr>
      </w:pPr>
      <w:r w:rsidRPr="009B15A1">
        <w:rPr>
          <w:rFonts w:cs="Arial"/>
          <w:sz w:val="22"/>
          <w:u w:val="single"/>
          <w:lang w:val="fr-FR"/>
        </w:rPr>
        <w:t>L’article 4</w:t>
      </w:r>
      <w:r w:rsidRPr="001C7E73">
        <w:rPr>
          <w:rFonts w:cs="Arial"/>
          <w:sz w:val="22"/>
          <w:lang w:val="fr-FR"/>
        </w:rPr>
        <w:t xml:space="preserve"> du projet de loi introduit, à partir du 1</w:t>
      </w:r>
      <w:r w:rsidRPr="001C7E73">
        <w:rPr>
          <w:rFonts w:cs="Arial"/>
          <w:sz w:val="22"/>
          <w:vertAlign w:val="superscript"/>
          <w:lang w:val="fr-FR"/>
        </w:rPr>
        <w:t>er</w:t>
      </w:r>
      <w:r w:rsidRPr="001C7E73">
        <w:rPr>
          <w:rFonts w:cs="Arial"/>
          <w:sz w:val="22"/>
          <w:lang w:val="fr-FR"/>
        </w:rPr>
        <w:t xml:space="preserve"> janvier 2021, un prélèvement, dit </w:t>
      </w:r>
      <w:r w:rsidRPr="009B15A1">
        <w:rPr>
          <w:rFonts w:cs="Arial"/>
          <w:sz w:val="22"/>
          <w:lang w:val="fr-FR"/>
        </w:rPr>
        <w:t>« </w:t>
      </w:r>
      <w:r w:rsidRPr="009B15A1">
        <w:rPr>
          <w:rFonts w:cs="Arial"/>
          <w:sz w:val="22"/>
          <w:u w:val="single"/>
          <w:lang w:val="fr-FR"/>
        </w:rPr>
        <w:t>prélèvement immobilier</w:t>
      </w:r>
      <w:r w:rsidRPr="009B15A1">
        <w:rPr>
          <w:rFonts w:cs="Arial"/>
          <w:sz w:val="22"/>
          <w:lang w:val="fr-FR"/>
        </w:rPr>
        <w:t xml:space="preserve"> », à charge de divers véhicules d’investissement qui perçoivent un revenu provenant d’un bien immobilier sis au Grand-Duché de Luxembourg.</w:t>
      </w:r>
      <w:r w:rsidR="00380DF8">
        <w:rPr>
          <w:rFonts w:cs="Arial"/>
          <w:sz w:val="22"/>
          <w:lang w:val="fr-FR"/>
        </w:rPr>
        <w:t xml:space="preserve"> </w:t>
      </w:r>
      <w:r w:rsidRPr="001C7E73">
        <w:rPr>
          <w:rFonts w:cs="Arial"/>
          <w:sz w:val="22"/>
          <w:lang w:val="fr-FR"/>
        </w:rPr>
        <w:t xml:space="preserve">Le </w:t>
      </w:r>
      <w:r>
        <w:rPr>
          <w:rFonts w:cs="Arial"/>
          <w:sz w:val="22"/>
          <w:lang w:val="fr-FR"/>
        </w:rPr>
        <w:t>« </w:t>
      </w:r>
      <w:r w:rsidRPr="001C7E73">
        <w:rPr>
          <w:rFonts w:cs="Arial"/>
          <w:sz w:val="22"/>
          <w:lang w:val="fr-FR"/>
        </w:rPr>
        <w:t>prélèvement immobilier</w:t>
      </w:r>
      <w:r>
        <w:rPr>
          <w:rFonts w:cs="Arial"/>
          <w:sz w:val="22"/>
          <w:lang w:val="fr-FR"/>
        </w:rPr>
        <w:t> »</w:t>
      </w:r>
      <w:r w:rsidRPr="001C7E73">
        <w:rPr>
          <w:rFonts w:cs="Arial"/>
          <w:sz w:val="22"/>
          <w:lang w:val="fr-FR"/>
        </w:rPr>
        <w:t xml:space="preserve"> </w:t>
      </w:r>
      <w:r>
        <w:rPr>
          <w:rFonts w:cs="Arial"/>
          <w:sz w:val="22"/>
          <w:lang w:val="fr-FR"/>
        </w:rPr>
        <w:t xml:space="preserve">a pour but de rétablir l’équité fiscale entre les personnes recourant aux structures visées et les personnes qui ne le font pas. Il </w:t>
      </w:r>
      <w:r w:rsidRPr="001C7E73">
        <w:rPr>
          <w:rFonts w:cs="Arial"/>
          <w:sz w:val="22"/>
          <w:lang w:val="fr-FR"/>
        </w:rPr>
        <w:t>est perçu sur une base annuelle</w:t>
      </w:r>
      <w:r w:rsidR="00917F7A">
        <w:rPr>
          <w:rFonts w:cs="Arial"/>
          <w:sz w:val="22"/>
          <w:lang w:val="fr-FR"/>
        </w:rPr>
        <w:t xml:space="preserve"> et son</w:t>
      </w:r>
      <w:r w:rsidRPr="00B41C07">
        <w:rPr>
          <w:rFonts w:cs="Arial"/>
          <w:sz w:val="22"/>
          <w:lang w:val="fr-FR"/>
        </w:rPr>
        <w:t xml:space="preserve"> </w:t>
      </w:r>
      <w:r w:rsidRPr="009B15A1">
        <w:rPr>
          <w:rFonts w:cs="Arial"/>
          <w:sz w:val="22"/>
          <w:u w:val="single"/>
          <w:lang w:val="fr-FR"/>
        </w:rPr>
        <w:t>taux</w:t>
      </w:r>
      <w:r w:rsidRPr="009B15A1">
        <w:rPr>
          <w:rFonts w:cs="Arial"/>
          <w:sz w:val="22"/>
          <w:lang w:val="fr-FR"/>
        </w:rPr>
        <w:t xml:space="preserve"> est fixé à </w:t>
      </w:r>
      <w:r w:rsidRPr="009B15A1">
        <w:rPr>
          <w:rFonts w:cs="Arial"/>
          <w:sz w:val="22"/>
          <w:u w:val="single"/>
          <w:lang w:val="fr-FR"/>
        </w:rPr>
        <w:t>20%</w:t>
      </w:r>
      <w:r w:rsidRPr="009B15A1">
        <w:rPr>
          <w:rFonts w:cs="Arial"/>
          <w:sz w:val="22"/>
          <w:lang w:val="fr-FR"/>
        </w:rPr>
        <w:t xml:space="preserve">. </w:t>
      </w:r>
    </w:p>
    <w:p w:rsidR="005B6707" w:rsidRPr="00963A2E" w:rsidRDefault="005B6707" w:rsidP="00FA59ED">
      <w:pPr>
        <w:jc w:val="both"/>
        <w:rPr>
          <w:rFonts w:cs="Arial"/>
          <w:color w:val="auto"/>
          <w:sz w:val="22"/>
          <w:szCs w:val="22"/>
          <w:lang w:val="fr-FR"/>
        </w:rPr>
      </w:pPr>
    </w:p>
    <w:p w:rsidR="00963A2E" w:rsidRPr="00963A2E" w:rsidRDefault="00963A2E" w:rsidP="00963A2E">
      <w:pPr>
        <w:jc w:val="both"/>
        <w:rPr>
          <w:rFonts w:cs="Arial"/>
          <w:sz w:val="22"/>
          <w:lang w:val="fr-LU"/>
        </w:rPr>
      </w:pPr>
      <w:r w:rsidRPr="00963A2E">
        <w:rPr>
          <w:rFonts w:cs="Arial"/>
          <w:sz w:val="22"/>
          <w:u w:val="single"/>
          <w:lang w:val="fr-LU"/>
        </w:rPr>
        <w:t>L’article 5</w:t>
      </w:r>
      <w:r w:rsidRPr="00963A2E">
        <w:rPr>
          <w:rFonts w:cs="Arial"/>
          <w:sz w:val="22"/>
          <w:lang w:val="fr-LU"/>
        </w:rPr>
        <w:t xml:space="preserve"> du projet de loi introduit un </w:t>
      </w:r>
      <w:r w:rsidRPr="00963A2E">
        <w:rPr>
          <w:rFonts w:cs="Arial"/>
          <w:sz w:val="22"/>
          <w:szCs w:val="22"/>
          <w:u w:val="single"/>
          <w:lang w:val="fr-LU"/>
        </w:rPr>
        <w:t>abattement</w:t>
      </w:r>
      <w:r w:rsidRPr="00963A2E">
        <w:rPr>
          <w:rFonts w:cs="Arial"/>
          <w:sz w:val="22"/>
          <w:u w:val="single"/>
          <w:lang w:val="fr-LU"/>
        </w:rPr>
        <w:t xml:space="preserve"> </w:t>
      </w:r>
      <w:r w:rsidRPr="00963A2E">
        <w:rPr>
          <w:rFonts w:cs="Arial"/>
          <w:snapToGrid w:val="0"/>
          <w:sz w:val="22"/>
          <w:u w:val="single"/>
          <w:lang w:val="fr-FR"/>
        </w:rPr>
        <w:t>pour réductions de loyer accordées</w:t>
      </w:r>
      <w:r>
        <w:rPr>
          <w:rFonts w:cs="Arial"/>
          <w:bCs/>
          <w:snapToGrid w:val="0"/>
          <w:sz w:val="22"/>
          <w:lang w:val="fr-FR"/>
        </w:rPr>
        <w:t xml:space="preserve"> </w:t>
      </w:r>
      <w:r>
        <w:rPr>
          <w:rFonts w:cs="Arial"/>
          <w:sz w:val="22"/>
          <w:lang w:val="fr-LU"/>
        </w:rPr>
        <w:t>à condition</w:t>
      </w:r>
      <w:r w:rsidRPr="00963A2E">
        <w:rPr>
          <w:rFonts w:cs="Arial"/>
          <w:sz w:val="22"/>
          <w:lang w:val="fr-LU"/>
        </w:rPr>
        <w:t xml:space="preserve"> que le contrat de bail soit à qualifier de </w:t>
      </w:r>
      <w:r w:rsidRPr="00963A2E">
        <w:rPr>
          <w:rFonts w:cs="Arial"/>
          <w:sz w:val="22"/>
          <w:u w:val="single"/>
          <w:lang w:val="fr-LU"/>
        </w:rPr>
        <w:t>bail commercial</w:t>
      </w:r>
      <w:r>
        <w:rPr>
          <w:rFonts w:cs="Arial"/>
          <w:sz w:val="22"/>
          <w:lang w:val="fr-LU"/>
        </w:rPr>
        <w:t>.</w:t>
      </w:r>
      <w:r w:rsidRPr="00963A2E">
        <w:rPr>
          <w:rFonts w:cs="Arial"/>
          <w:sz w:val="22"/>
          <w:lang w:val="fr-LU"/>
        </w:rPr>
        <w:t xml:space="preserve"> Le montant de l’abattement se détermine en multipliant par deux le montant du loyer auquel il est renoncé. </w:t>
      </w:r>
      <w:r>
        <w:rPr>
          <w:rFonts w:cs="Arial"/>
          <w:sz w:val="22"/>
          <w:lang w:val="fr-LU"/>
        </w:rPr>
        <w:t>Il</w:t>
      </w:r>
      <w:r w:rsidRPr="00963A2E">
        <w:rPr>
          <w:rFonts w:cs="Arial"/>
          <w:sz w:val="22"/>
          <w:lang w:val="fr-LU"/>
        </w:rPr>
        <w:t xml:space="preserve"> est cependant limité à 15.000 euros par immeuble ou partie d’immeuble et par contrat de bail commercial. Ainsi, les montants des loyers auxquels il est renoncé et pouvant donner droit à l’abattement sont limités à 7.500 euros par contrat de bail commercial et par immeuble ou partie d’immeuble. </w:t>
      </w:r>
    </w:p>
    <w:p w:rsidR="00380DF8" w:rsidRDefault="00380DF8" w:rsidP="00380DF8">
      <w:pPr>
        <w:jc w:val="both"/>
        <w:rPr>
          <w:rFonts w:eastAsia="Arial" w:cs="Arial"/>
          <w:sz w:val="22"/>
          <w:szCs w:val="22"/>
          <w:lang w:val="fr-LU"/>
        </w:rPr>
      </w:pPr>
    </w:p>
    <w:p w:rsidR="00380DF8" w:rsidRPr="00380DF8" w:rsidRDefault="00380DF8" w:rsidP="00380DF8">
      <w:pPr>
        <w:jc w:val="both"/>
        <w:rPr>
          <w:rFonts w:eastAsia="Arial" w:cs="Arial"/>
          <w:sz w:val="22"/>
          <w:szCs w:val="22"/>
          <w:lang w:val="fr-FR"/>
        </w:rPr>
      </w:pPr>
      <w:r w:rsidRPr="00380DF8">
        <w:rPr>
          <w:rFonts w:eastAsia="Arial" w:cs="Arial"/>
          <w:sz w:val="22"/>
          <w:szCs w:val="22"/>
          <w:u w:val="single"/>
          <w:lang w:val="fr-LU"/>
        </w:rPr>
        <w:t>L’article 8</w:t>
      </w:r>
      <w:r w:rsidRPr="00380DF8">
        <w:rPr>
          <w:rFonts w:eastAsia="Arial" w:cs="Arial"/>
          <w:sz w:val="22"/>
          <w:szCs w:val="22"/>
          <w:lang w:val="fr-LU"/>
        </w:rPr>
        <w:t xml:space="preserve"> du projet de loi introduit </w:t>
      </w:r>
      <w:r>
        <w:rPr>
          <w:rFonts w:eastAsia="Arial" w:cs="Arial"/>
          <w:sz w:val="22"/>
          <w:szCs w:val="22"/>
          <w:lang w:val="fr-LU"/>
        </w:rPr>
        <w:t>la</w:t>
      </w:r>
      <w:r w:rsidRPr="00380DF8">
        <w:rPr>
          <w:rFonts w:eastAsia="Arial" w:cs="Arial"/>
          <w:sz w:val="22"/>
          <w:szCs w:val="22"/>
          <w:lang w:val="fr-LU"/>
        </w:rPr>
        <w:t xml:space="preserve"> </w:t>
      </w:r>
      <w:r w:rsidRPr="00380DF8">
        <w:rPr>
          <w:rFonts w:eastAsia="Arial" w:cs="Arial"/>
          <w:sz w:val="22"/>
          <w:szCs w:val="22"/>
          <w:u w:val="single"/>
          <w:lang w:val="fr-LU"/>
        </w:rPr>
        <w:t>taxe CO2</w:t>
      </w:r>
      <w:r w:rsidRPr="00380DF8">
        <w:rPr>
          <w:rFonts w:eastAsia="Arial" w:cs="Arial"/>
          <w:sz w:val="22"/>
          <w:szCs w:val="22"/>
          <w:lang w:val="fr-LU"/>
        </w:rPr>
        <w:t>.</w:t>
      </w:r>
      <w:r>
        <w:rPr>
          <w:rFonts w:eastAsia="Arial" w:cs="Arial"/>
          <w:sz w:val="22"/>
          <w:szCs w:val="22"/>
          <w:lang w:val="fr-FR"/>
        </w:rPr>
        <w:t xml:space="preserve"> </w:t>
      </w:r>
      <w:r>
        <w:rPr>
          <w:rFonts w:eastAsia="Arial" w:cs="Arial"/>
          <w:sz w:val="22"/>
          <w:szCs w:val="22"/>
          <w:lang w:val="fr-LU"/>
        </w:rPr>
        <w:t>C</w:t>
      </w:r>
      <w:r w:rsidRPr="00380DF8">
        <w:rPr>
          <w:rFonts w:eastAsia="Arial" w:cs="Arial"/>
          <w:sz w:val="22"/>
          <w:szCs w:val="22"/>
          <w:lang w:val="fr-LU"/>
        </w:rPr>
        <w:t>ette taxe s’élève à 20 euros par tonne de CO2, correspondant à 5-6 cents par litre de carburant ou autre produit énergétique. En 2022, cette taxe s’élèvera à 25 euros par tonne de CO2 et en 2022 à 30 euros par tonne de CO2, ces augmentations correspondant à chaque fois à un cent supplémentaire par litre.</w:t>
      </w:r>
      <w:r>
        <w:rPr>
          <w:rFonts w:eastAsia="Arial" w:cs="Arial"/>
          <w:sz w:val="22"/>
          <w:szCs w:val="22"/>
          <w:lang w:val="fr-FR"/>
        </w:rPr>
        <w:t xml:space="preserve"> </w:t>
      </w:r>
      <w:r w:rsidRPr="00380DF8">
        <w:rPr>
          <w:rFonts w:cs="Arial"/>
          <w:sz w:val="22"/>
          <w:lang w:val="fr-LU"/>
        </w:rPr>
        <w:t xml:space="preserve">Une utilisation ciblée des recettes issue de la </w:t>
      </w:r>
      <w:r>
        <w:rPr>
          <w:rFonts w:cs="Arial"/>
          <w:sz w:val="22"/>
          <w:lang w:val="fr-LU"/>
        </w:rPr>
        <w:t>t</w:t>
      </w:r>
      <w:r w:rsidRPr="00380DF8">
        <w:rPr>
          <w:rFonts w:cs="Arial"/>
          <w:sz w:val="22"/>
          <w:lang w:val="fr-LU"/>
        </w:rPr>
        <w:t xml:space="preserve">axe CO2 permettra de garantir la mise en œuvre socialement équitable du prix du carbone. Afin d’atténuer le poids de la taxe sur les ménages aux revenus les plus faibles, les </w:t>
      </w:r>
      <w:r w:rsidRPr="00380DF8">
        <w:rPr>
          <w:rFonts w:cs="Arial"/>
          <w:sz w:val="22"/>
          <w:u w:val="single"/>
          <w:lang w:val="fr-LU"/>
        </w:rPr>
        <w:t>crédits d’impôt</w:t>
      </w:r>
      <w:r w:rsidRPr="00380DF8">
        <w:rPr>
          <w:rFonts w:cs="Arial"/>
          <w:sz w:val="22"/>
          <w:lang w:val="fr-LU"/>
        </w:rPr>
        <w:t xml:space="preserve"> </w:t>
      </w:r>
      <w:r>
        <w:rPr>
          <w:rFonts w:cs="Arial"/>
          <w:sz w:val="22"/>
          <w:lang w:val="fr-LU"/>
        </w:rPr>
        <w:t xml:space="preserve">sont </w:t>
      </w:r>
      <w:r w:rsidRPr="00380DF8">
        <w:rPr>
          <w:rFonts w:cs="Arial"/>
          <w:sz w:val="22"/>
          <w:lang w:val="fr-LU"/>
        </w:rPr>
        <w:t>augment</w:t>
      </w:r>
      <w:r>
        <w:rPr>
          <w:rFonts w:cs="Arial"/>
          <w:sz w:val="22"/>
          <w:lang w:val="fr-LU"/>
        </w:rPr>
        <w:t>és</w:t>
      </w:r>
      <w:r w:rsidRPr="00380DF8">
        <w:rPr>
          <w:rFonts w:cs="Arial"/>
          <w:sz w:val="22"/>
          <w:lang w:val="fr-LU"/>
        </w:rPr>
        <w:t xml:space="preserve"> de </w:t>
      </w:r>
      <w:r w:rsidRPr="00380DF8">
        <w:rPr>
          <w:rFonts w:cs="Arial"/>
          <w:sz w:val="22"/>
          <w:u w:val="single"/>
          <w:lang w:val="fr-LU"/>
        </w:rPr>
        <w:t>96 euros par an</w:t>
      </w:r>
      <w:r w:rsidRPr="00380DF8">
        <w:rPr>
          <w:rFonts w:cs="Arial"/>
          <w:sz w:val="22"/>
          <w:lang w:val="fr-LU"/>
        </w:rPr>
        <w:t xml:space="preserve"> (soit 8 euros par mois).</w:t>
      </w:r>
    </w:p>
    <w:p w:rsidR="00380DF8" w:rsidRDefault="00380DF8" w:rsidP="00380DF8">
      <w:pPr>
        <w:jc w:val="both"/>
        <w:rPr>
          <w:rFonts w:eastAsia="Arial" w:cs="Arial"/>
          <w:sz w:val="22"/>
          <w:szCs w:val="22"/>
          <w:lang w:val="fr-LU"/>
        </w:rPr>
      </w:pPr>
    </w:p>
    <w:p w:rsidR="00380DF8" w:rsidRPr="00380DF8" w:rsidRDefault="00380DF8" w:rsidP="00380DF8">
      <w:pPr>
        <w:jc w:val="both"/>
        <w:rPr>
          <w:rFonts w:cs="Arial"/>
          <w:sz w:val="22"/>
          <w:szCs w:val="22"/>
          <w:lang w:val="fr-LU"/>
        </w:rPr>
      </w:pPr>
      <w:r w:rsidRPr="00380DF8">
        <w:rPr>
          <w:rFonts w:eastAsia="Arial" w:cs="Arial"/>
          <w:sz w:val="22"/>
          <w:szCs w:val="22"/>
          <w:u w:val="single"/>
          <w:lang w:val="fr-LU"/>
        </w:rPr>
        <w:t>L’article 9</w:t>
      </w:r>
      <w:r w:rsidRPr="00380DF8">
        <w:rPr>
          <w:rFonts w:eastAsia="Arial" w:cs="Arial"/>
          <w:sz w:val="22"/>
          <w:szCs w:val="22"/>
          <w:lang w:val="fr-LU"/>
        </w:rPr>
        <w:t xml:space="preserve"> du projet de loi prévoit </w:t>
      </w:r>
      <w:r w:rsidRPr="00380DF8">
        <w:rPr>
          <w:rFonts w:cs="Arial"/>
          <w:sz w:val="22"/>
          <w:szCs w:val="22"/>
          <w:lang w:val="fr-LU"/>
        </w:rPr>
        <w:t xml:space="preserve">un </w:t>
      </w:r>
      <w:r w:rsidRPr="00380DF8">
        <w:rPr>
          <w:rFonts w:cs="Arial"/>
          <w:sz w:val="22"/>
          <w:szCs w:val="22"/>
          <w:u w:val="single"/>
          <w:lang w:val="fr-LU"/>
        </w:rPr>
        <w:t xml:space="preserve">taux de taxe d’abonnement annuelle </w:t>
      </w:r>
      <w:r w:rsidRPr="00380DF8">
        <w:rPr>
          <w:rFonts w:cs="Arial"/>
          <w:sz w:val="22"/>
          <w:szCs w:val="22"/>
          <w:u w:val="single"/>
          <w:lang w:val="fr-FR"/>
        </w:rPr>
        <w:t>de 0,04%</w:t>
      </w:r>
      <w:r w:rsidRPr="00632F37">
        <w:rPr>
          <w:rFonts w:cs="Arial"/>
          <w:sz w:val="22"/>
          <w:szCs w:val="22"/>
          <w:lang w:val="fr-FR"/>
        </w:rPr>
        <w:t xml:space="preserve"> </w:t>
      </w:r>
      <w:r>
        <w:rPr>
          <w:rFonts w:cs="Arial"/>
          <w:sz w:val="22"/>
          <w:szCs w:val="22"/>
          <w:lang w:val="fr-FR"/>
        </w:rPr>
        <w:t xml:space="preserve">(au lieu de 0,05%) </w:t>
      </w:r>
      <w:r w:rsidRPr="00632F37">
        <w:rPr>
          <w:rFonts w:cs="Arial"/>
          <w:sz w:val="22"/>
          <w:szCs w:val="22"/>
          <w:lang w:val="fr-FR"/>
        </w:rPr>
        <w:t xml:space="preserve">pour la part des avoirs </w:t>
      </w:r>
      <w:r w:rsidRPr="00380DF8">
        <w:rPr>
          <w:rFonts w:cs="Arial"/>
          <w:sz w:val="22"/>
          <w:szCs w:val="22"/>
          <w:lang w:val="fr-LU"/>
        </w:rPr>
        <w:t xml:space="preserve">nets d’un OPC ou d’un compartiment individuel d’un OPC à compartiments multiples pourvu que les conditions prévues à l’article 3 du règlement taxonomie soient respectées pour cette part et </w:t>
      </w:r>
      <w:r w:rsidRPr="00380DF8">
        <w:rPr>
          <w:rFonts w:cs="Arial"/>
          <w:sz w:val="22"/>
          <w:szCs w:val="22"/>
          <w:u w:val="single"/>
          <w:lang w:val="fr-LU"/>
        </w:rPr>
        <w:t>à condition qu’un seuil, allant de 5 à 20% d’avoirs investis dans des activités économiques durables sur le plan environnemental</w:t>
      </w:r>
      <w:r w:rsidRPr="00380DF8">
        <w:rPr>
          <w:rFonts w:cs="Arial"/>
          <w:sz w:val="22"/>
          <w:szCs w:val="22"/>
          <w:lang w:val="fr-LU"/>
        </w:rPr>
        <w:t xml:space="preserve"> soit atteint.</w:t>
      </w:r>
      <w:r>
        <w:rPr>
          <w:rFonts w:cs="Arial"/>
          <w:sz w:val="22"/>
          <w:szCs w:val="22"/>
          <w:lang w:val="fr-LU"/>
        </w:rPr>
        <w:t xml:space="preserve"> </w:t>
      </w:r>
      <w:r w:rsidRPr="006A1522">
        <w:rPr>
          <w:rFonts w:cs="Calibri"/>
          <w:sz w:val="22"/>
          <w:szCs w:val="22"/>
          <w:lang w:val="fr-FR"/>
        </w:rPr>
        <w:t>Si la part des avoirs nets d’un OPC ou d’un compartiment individuel d’un OPC à compartiments multiples investis dans des activités économiques durables représente au moins 20% de la totalité des avoirs nets de l’OPC ou du compartiment individuel d’un OPC à compartiments multiples, ce taux est de 0,03% pour la part des avoirs nets en question. Si la part des avoirs en question représente au moins 35%, le taux passe à 0,02% et en cas d’au moins 50%, le taux passe à 0,01%.</w:t>
      </w:r>
    </w:p>
    <w:p w:rsidR="0066375D" w:rsidRDefault="0066375D" w:rsidP="0066375D">
      <w:pPr>
        <w:autoSpaceDE w:val="0"/>
        <w:autoSpaceDN w:val="0"/>
        <w:adjustRightInd w:val="0"/>
        <w:jc w:val="both"/>
        <w:rPr>
          <w:rFonts w:cs="Arial"/>
          <w:sz w:val="22"/>
          <w:szCs w:val="22"/>
          <w:lang w:val="fr-LU"/>
        </w:rPr>
      </w:pPr>
    </w:p>
    <w:p w:rsidR="0066375D" w:rsidRPr="0066375D" w:rsidRDefault="0066375D" w:rsidP="0066375D">
      <w:pPr>
        <w:autoSpaceDE w:val="0"/>
        <w:autoSpaceDN w:val="0"/>
        <w:adjustRightInd w:val="0"/>
        <w:jc w:val="both"/>
        <w:rPr>
          <w:rFonts w:cs="Arial"/>
          <w:sz w:val="22"/>
          <w:szCs w:val="22"/>
          <w:lang w:val="fr-LU"/>
        </w:rPr>
      </w:pPr>
      <w:r w:rsidRPr="0066375D">
        <w:rPr>
          <w:rFonts w:cs="Arial"/>
          <w:sz w:val="22"/>
          <w:szCs w:val="22"/>
          <w:u w:val="single"/>
          <w:lang w:val="fr-LU"/>
        </w:rPr>
        <w:t>L’article 10</w:t>
      </w:r>
      <w:r w:rsidRPr="0066375D">
        <w:rPr>
          <w:rFonts w:cs="Arial"/>
          <w:color w:val="FF0000"/>
          <w:sz w:val="22"/>
          <w:szCs w:val="22"/>
          <w:u w:val="single"/>
          <w:lang w:val="fr-LU"/>
        </w:rPr>
        <w:t xml:space="preserve"> </w:t>
      </w:r>
      <w:r w:rsidRPr="0066375D">
        <w:rPr>
          <w:rFonts w:cs="Arial"/>
          <w:sz w:val="22"/>
          <w:szCs w:val="22"/>
          <w:lang w:val="fr-LU"/>
        </w:rPr>
        <w:t>renchérit les « </w:t>
      </w:r>
      <w:r w:rsidRPr="0066375D">
        <w:rPr>
          <w:rFonts w:cs="Arial"/>
          <w:sz w:val="22"/>
          <w:szCs w:val="22"/>
          <w:u w:val="single"/>
          <w:lang w:val="fr-LU"/>
        </w:rPr>
        <w:t>share deal</w:t>
      </w:r>
      <w:r w:rsidRPr="0066375D">
        <w:rPr>
          <w:rFonts w:cs="Arial"/>
          <w:sz w:val="22"/>
          <w:szCs w:val="22"/>
          <w:lang w:val="fr-LU"/>
        </w:rPr>
        <w:t xml:space="preserve"> », opérations par le biais desquelles des investisseurs achètent des (parts de) sociétés détenant des immeubles, en </w:t>
      </w:r>
      <w:r w:rsidRPr="0066375D">
        <w:rPr>
          <w:rFonts w:cs="Arial"/>
          <w:sz w:val="22"/>
          <w:szCs w:val="22"/>
          <w:u w:val="single"/>
          <w:lang w:val="fr-LU"/>
        </w:rPr>
        <w:t>triplant le droit de mutation</w:t>
      </w:r>
      <w:r w:rsidRPr="0066375D">
        <w:rPr>
          <w:rFonts w:cs="Arial"/>
          <w:sz w:val="22"/>
          <w:szCs w:val="22"/>
          <w:lang w:val="fr-LU"/>
        </w:rPr>
        <w:t xml:space="preserve"> en cas d’apport pur et simple d’immeubles à une société. </w:t>
      </w:r>
    </w:p>
    <w:p w:rsidR="00380DF8" w:rsidRPr="006A1522" w:rsidRDefault="00380DF8" w:rsidP="00380DF8">
      <w:pPr>
        <w:jc w:val="both"/>
        <w:rPr>
          <w:rFonts w:cs="Calibri"/>
          <w:sz w:val="22"/>
          <w:szCs w:val="22"/>
          <w:lang w:val="fr-FR"/>
        </w:rPr>
      </w:pPr>
    </w:p>
    <w:p w:rsidR="0066375D" w:rsidRPr="0066375D" w:rsidRDefault="0066375D" w:rsidP="0066375D">
      <w:pPr>
        <w:jc w:val="both"/>
        <w:rPr>
          <w:rFonts w:cs="Arial"/>
          <w:sz w:val="22"/>
          <w:szCs w:val="22"/>
          <w:lang w:val="fr-LU"/>
        </w:rPr>
      </w:pPr>
      <w:r w:rsidRPr="0066375D">
        <w:rPr>
          <w:rFonts w:eastAsia="Arial" w:cs="Arial"/>
          <w:sz w:val="22"/>
          <w:szCs w:val="22"/>
          <w:u w:val="single"/>
          <w:lang w:val="fr-FR"/>
        </w:rPr>
        <w:t>L’article 11</w:t>
      </w:r>
      <w:r w:rsidRPr="00CA5CCA">
        <w:rPr>
          <w:rFonts w:eastAsia="Arial" w:cs="Arial"/>
          <w:sz w:val="22"/>
          <w:szCs w:val="22"/>
          <w:lang w:val="fr-FR"/>
        </w:rPr>
        <w:t xml:space="preserve"> précise qu’i</w:t>
      </w:r>
      <w:r w:rsidRPr="0066375D">
        <w:rPr>
          <w:rFonts w:cs="Arial"/>
          <w:sz w:val="22"/>
          <w:szCs w:val="22"/>
          <w:lang w:val="fr-LU"/>
        </w:rPr>
        <w:t xml:space="preserve">l est </w:t>
      </w:r>
      <w:r w:rsidRPr="0066375D">
        <w:rPr>
          <w:rFonts w:cs="Arial"/>
          <w:sz w:val="22"/>
          <w:szCs w:val="22"/>
          <w:u w:val="single"/>
          <w:lang w:val="fr-LU"/>
        </w:rPr>
        <w:t>interdit à une société de gestion de patrimoine familial (SPF) de détenir des biens immobiliers à travers une ou plusieurs sociétés de personnes ou à travers un ou plusieurs fonds communs de placement</w:t>
      </w:r>
      <w:r w:rsidRPr="0066375D">
        <w:rPr>
          <w:rFonts w:eastAsia="Arial" w:cs="Arial"/>
          <w:sz w:val="22"/>
          <w:szCs w:val="22"/>
          <w:lang w:val="fr-LU"/>
        </w:rPr>
        <w:t xml:space="preserve">, alors que </w:t>
      </w:r>
      <w:r w:rsidRPr="0066375D">
        <w:rPr>
          <w:rFonts w:cs="Arial"/>
          <w:sz w:val="22"/>
          <w:szCs w:val="22"/>
          <w:lang w:val="fr-LU"/>
        </w:rPr>
        <w:t xml:space="preserve">la détention directe d’immeubles par une SPF était déjà exclue par la loi modifiée du 11 mai 2007. </w:t>
      </w:r>
    </w:p>
    <w:p w:rsidR="00493B7D" w:rsidRDefault="00493B7D" w:rsidP="00493B7D">
      <w:pPr>
        <w:jc w:val="both"/>
        <w:rPr>
          <w:rFonts w:cs="Arial"/>
          <w:color w:val="FF0000"/>
          <w:sz w:val="22"/>
          <w:szCs w:val="22"/>
          <w:lang w:val="fr-FR"/>
        </w:rPr>
      </w:pPr>
    </w:p>
    <w:p w:rsidR="00493B7D" w:rsidRPr="002B1057" w:rsidRDefault="00493B7D" w:rsidP="00493B7D">
      <w:pPr>
        <w:jc w:val="both"/>
        <w:rPr>
          <w:rFonts w:cs="Arial"/>
          <w:color w:val="FF0000"/>
          <w:sz w:val="22"/>
          <w:szCs w:val="22"/>
          <w:lang w:val="fr-FR"/>
        </w:rPr>
      </w:pPr>
      <w:r w:rsidRPr="00493B7D">
        <w:rPr>
          <w:rFonts w:cs="Arial"/>
          <w:sz w:val="22"/>
          <w:szCs w:val="22"/>
          <w:u w:val="single"/>
          <w:lang w:val="fr-LU"/>
        </w:rPr>
        <w:t>L’article 11</w:t>
      </w:r>
      <w:r w:rsidRPr="00493B7D">
        <w:rPr>
          <w:rFonts w:cs="Arial"/>
          <w:sz w:val="22"/>
          <w:szCs w:val="22"/>
          <w:lang w:val="fr-LU"/>
        </w:rPr>
        <w:t xml:space="preserve"> </w:t>
      </w:r>
      <w:r>
        <w:rPr>
          <w:rFonts w:cs="Arial"/>
          <w:sz w:val="22"/>
          <w:szCs w:val="22"/>
          <w:lang w:val="fr-LU"/>
        </w:rPr>
        <w:t>prévoit qu</w:t>
      </w:r>
      <w:r w:rsidR="00406761">
        <w:rPr>
          <w:rFonts w:cs="Arial"/>
          <w:sz w:val="22"/>
          <w:szCs w:val="22"/>
          <w:lang w:val="fr-LU"/>
        </w:rPr>
        <w:t>’à</w:t>
      </w:r>
      <w:r>
        <w:rPr>
          <w:rFonts w:cs="Arial"/>
          <w:sz w:val="22"/>
          <w:szCs w:val="22"/>
          <w:lang w:val="fr-LU"/>
        </w:rPr>
        <w:t xml:space="preserve"> </w:t>
      </w:r>
      <w:r w:rsidR="00406761" w:rsidRPr="00493B7D">
        <w:rPr>
          <w:rFonts w:cs="Arial"/>
          <w:sz w:val="22"/>
          <w:szCs w:val="22"/>
          <w:lang w:val="fr-LU"/>
        </w:rPr>
        <w:t xml:space="preserve">l’instar des organismes de placement collectif et des fonds d’investissement, les </w:t>
      </w:r>
      <w:r w:rsidR="0066375D" w:rsidRPr="006A1522">
        <w:rPr>
          <w:rFonts w:cs="Calibri"/>
          <w:bCs/>
          <w:sz w:val="22"/>
          <w:szCs w:val="22"/>
          <w:u w:val="single"/>
          <w:lang w:val="fr-FR"/>
        </w:rPr>
        <w:t>SPF</w:t>
      </w:r>
      <w:r w:rsidR="0066375D" w:rsidRPr="006A1522">
        <w:rPr>
          <w:rFonts w:cs="Calibri"/>
          <w:bCs/>
          <w:sz w:val="22"/>
          <w:szCs w:val="22"/>
          <w:lang w:val="fr-FR"/>
        </w:rPr>
        <w:t xml:space="preserve"> </w:t>
      </w:r>
      <w:r w:rsidR="00406761" w:rsidRPr="0066375D">
        <w:rPr>
          <w:rFonts w:cs="Arial"/>
          <w:sz w:val="22"/>
          <w:szCs w:val="22"/>
          <w:lang w:val="fr-LU"/>
        </w:rPr>
        <w:t>sont</w:t>
      </w:r>
      <w:r w:rsidR="00406761" w:rsidRPr="00493B7D">
        <w:rPr>
          <w:rFonts w:cs="Arial"/>
          <w:sz w:val="22"/>
          <w:szCs w:val="22"/>
          <w:lang w:val="fr-LU"/>
        </w:rPr>
        <w:t xml:space="preserve"> désormais </w:t>
      </w:r>
      <w:r w:rsidR="00406761" w:rsidRPr="00406761">
        <w:rPr>
          <w:rFonts w:cs="Arial"/>
          <w:sz w:val="22"/>
          <w:szCs w:val="22"/>
          <w:u w:val="single"/>
          <w:lang w:val="fr-LU"/>
        </w:rPr>
        <w:t>obligées de déposer leurs déclarations en matière de taxe d’abonnement par voie électronique</w:t>
      </w:r>
      <w:r w:rsidR="00406761" w:rsidRPr="00493B7D">
        <w:rPr>
          <w:rFonts w:cs="Arial"/>
          <w:sz w:val="22"/>
          <w:szCs w:val="22"/>
          <w:lang w:val="fr-LU"/>
        </w:rPr>
        <w:t>.</w:t>
      </w:r>
      <w:r w:rsidR="00406761">
        <w:rPr>
          <w:rFonts w:cs="Arial"/>
          <w:sz w:val="22"/>
          <w:szCs w:val="22"/>
          <w:lang w:val="fr-LU"/>
        </w:rPr>
        <w:t xml:space="preserve"> </w:t>
      </w:r>
    </w:p>
    <w:p w:rsidR="00493B7D" w:rsidRPr="00493B7D" w:rsidRDefault="00493B7D" w:rsidP="00493B7D">
      <w:pPr>
        <w:jc w:val="both"/>
        <w:rPr>
          <w:rFonts w:cs="Arial"/>
          <w:sz w:val="22"/>
          <w:szCs w:val="22"/>
          <w:lang w:val="fr-LU"/>
        </w:rPr>
      </w:pPr>
    </w:p>
    <w:p w:rsidR="00406761" w:rsidRPr="00406761" w:rsidRDefault="00406761" w:rsidP="00406761">
      <w:pPr>
        <w:jc w:val="both"/>
        <w:rPr>
          <w:rFonts w:cs="Arial"/>
          <w:sz w:val="22"/>
          <w:lang w:val="fr-LU"/>
        </w:rPr>
      </w:pPr>
      <w:r w:rsidRPr="00406761">
        <w:rPr>
          <w:rFonts w:cs="Arial"/>
          <w:sz w:val="22"/>
          <w:u w:val="single"/>
          <w:lang w:val="fr-LU"/>
        </w:rPr>
        <w:t>L’article 13</w:t>
      </w:r>
      <w:r w:rsidRPr="00406761">
        <w:rPr>
          <w:rFonts w:cs="Arial"/>
          <w:sz w:val="22"/>
          <w:lang w:val="fr-LU"/>
        </w:rPr>
        <w:t xml:space="preserve"> prévoit, en vue de faire bénéficier un plus grand nombre d'assujettis de la simplification administrative que représente le </w:t>
      </w:r>
      <w:r w:rsidRPr="00BE577C">
        <w:rPr>
          <w:rFonts w:cs="Arial"/>
          <w:sz w:val="22"/>
          <w:u w:val="single"/>
          <w:lang w:val="fr-LU"/>
        </w:rPr>
        <w:t>régime de franchise TVA</w:t>
      </w:r>
      <w:r w:rsidRPr="00406761">
        <w:rPr>
          <w:rFonts w:cs="Arial"/>
          <w:sz w:val="22"/>
          <w:lang w:val="fr-LU"/>
        </w:rPr>
        <w:t xml:space="preserve">, de relever le </w:t>
      </w:r>
      <w:r w:rsidRPr="00406761">
        <w:rPr>
          <w:rFonts w:cs="Arial"/>
          <w:sz w:val="22"/>
          <w:u w:val="single"/>
          <w:lang w:val="fr-LU"/>
        </w:rPr>
        <w:t>seuil</w:t>
      </w:r>
      <w:r w:rsidRPr="00406761">
        <w:rPr>
          <w:rFonts w:cs="Arial"/>
          <w:sz w:val="22"/>
          <w:lang w:val="fr-LU"/>
        </w:rPr>
        <w:t xml:space="preserve"> </w:t>
      </w:r>
      <w:r>
        <w:rPr>
          <w:rFonts w:cs="Arial"/>
          <w:sz w:val="22"/>
          <w:lang w:val="fr-LU"/>
        </w:rPr>
        <w:t xml:space="preserve">actuel </w:t>
      </w:r>
      <w:r w:rsidRPr="00406761">
        <w:rPr>
          <w:rFonts w:cs="Arial"/>
          <w:sz w:val="22"/>
          <w:lang w:val="fr-LU"/>
        </w:rPr>
        <w:t xml:space="preserve">de 30.000 euros à </w:t>
      </w:r>
      <w:r w:rsidRPr="00406761">
        <w:rPr>
          <w:rFonts w:cs="Arial"/>
          <w:sz w:val="22"/>
          <w:u w:val="single"/>
          <w:lang w:val="fr-LU"/>
        </w:rPr>
        <w:t>35.000 euros</w:t>
      </w:r>
      <w:r w:rsidRPr="00406761">
        <w:rPr>
          <w:rFonts w:cs="Arial"/>
          <w:sz w:val="22"/>
          <w:lang w:val="fr-LU"/>
        </w:rPr>
        <w:t xml:space="preserve">. </w:t>
      </w:r>
    </w:p>
    <w:p w:rsidR="00406761" w:rsidRPr="006A1522" w:rsidRDefault="00406761" w:rsidP="00406761">
      <w:pPr>
        <w:jc w:val="both"/>
        <w:rPr>
          <w:rFonts w:ascii="Calibri" w:hAnsi="Calibri" w:cs="Calibri"/>
          <w:sz w:val="22"/>
          <w:lang w:val="fr-LU"/>
        </w:rPr>
      </w:pPr>
    </w:p>
    <w:p w:rsidR="00406761" w:rsidRPr="00406761" w:rsidRDefault="00406761" w:rsidP="00406761">
      <w:pPr>
        <w:jc w:val="both"/>
        <w:rPr>
          <w:rFonts w:cs="Arial"/>
          <w:sz w:val="22"/>
          <w:lang w:val="fr-LU"/>
        </w:rPr>
      </w:pPr>
      <w:r w:rsidRPr="00562EED">
        <w:rPr>
          <w:rFonts w:cs="Arial"/>
          <w:sz w:val="22"/>
          <w:u w:val="single"/>
          <w:lang w:val="fr-LU"/>
        </w:rPr>
        <w:t>L’article 14</w:t>
      </w:r>
      <w:r w:rsidRPr="00406761">
        <w:rPr>
          <w:rFonts w:cs="Arial"/>
          <w:sz w:val="22"/>
          <w:lang w:val="fr-LU"/>
        </w:rPr>
        <w:t xml:space="preserve"> a pour objet l’introduction </w:t>
      </w:r>
      <w:r w:rsidRPr="00562EED">
        <w:rPr>
          <w:rFonts w:cs="Arial"/>
          <w:sz w:val="22"/>
          <w:u w:val="single"/>
          <w:lang w:val="fr-LU"/>
        </w:rPr>
        <w:t>pour les héritiers</w:t>
      </w:r>
      <w:r w:rsidRPr="00406761">
        <w:rPr>
          <w:rFonts w:cs="Arial"/>
          <w:sz w:val="22"/>
          <w:lang w:val="fr-LU"/>
        </w:rPr>
        <w:t xml:space="preserve">, dans le cadre de successions exemptes de droits de succession, d’un moyen efficace d’accès aux biens meubles dépendant d’une succession en donnant une portée civile au certificat d’ores et déjà émis par l’AED. Il s’agit donc surtout d’une mesure de simplification administrative. Le </w:t>
      </w:r>
      <w:r w:rsidRPr="00562EED">
        <w:rPr>
          <w:rFonts w:cs="Arial"/>
          <w:sz w:val="22"/>
          <w:u w:val="single"/>
          <w:lang w:val="fr-LU"/>
        </w:rPr>
        <w:t>certificat émis par l’AED en cas de succession exempte de droits de succession aura donc dorénavant une portée à la fois fiscale et civile</w:t>
      </w:r>
      <w:r w:rsidRPr="00406761">
        <w:rPr>
          <w:rFonts w:cs="Arial"/>
          <w:sz w:val="22"/>
          <w:lang w:val="fr-LU"/>
        </w:rPr>
        <w:t>. L’héritier n’aura plus besoin de se procurer un acte de notoriété auprès d’un notaire.</w:t>
      </w:r>
    </w:p>
    <w:p w:rsidR="00D216B4" w:rsidRPr="00364E1A" w:rsidRDefault="00D216B4" w:rsidP="00D216B4">
      <w:pPr>
        <w:keepNext/>
        <w:widowControl w:val="0"/>
        <w:tabs>
          <w:tab w:val="left" w:pos="1276"/>
        </w:tabs>
        <w:ind w:left="284" w:firstLine="425"/>
        <w:jc w:val="both"/>
        <w:outlineLvl w:val="0"/>
        <w:rPr>
          <w:rFonts w:ascii="Calibri" w:hAnsi="Calibri"/>
          <w:b/>
          <w:sz w:val="22"/>
          <w:szCs w:val="22"/>
          <w:lang w:val="fr-FR"/>
        </w:rPr>
      </w:pPr>
    </w:p>
    <w:p w:rsidR="00D216B4" w:rsidRPr="00D216B4" w:rsidRDefault="00D216B4" w:rsidP="00D216B4">
      <w:pPr>
        <w:shd w:val="clear" w:color="auto" w:fill="FFFFFF"/>
        <w:jc w:val="both"/>
        <w:rPr>
          <w:rFonts w:cs="Arial"/>
          <w:sz w:val="22"/>
          <w:szCs w:val="22"/>
          <w:lang w:val="fr-FR"/>
        </w:rPr>
      </w:pPr>
      <w:r w:rsidRPr="00D216B4">
        <w:rPr>
          <w:rFonts w:cs="Arial"/>
          <w:sz w:val="22"/>
          <w:szCs w:val="22"/>
          <w:u w:val="single"/>
          <w:lang w:val="fr-FR"/>
        </w:rPr>
        <w:t>L’article 50</w:t>
      </w:r>
      <w:r w:rsidRPr="00D216B4">
        <w:rPr>
          <w:rFonts w:cs="Arial"/>
          <w:sz w:val="22"/>
          <w:szCs w:val="22"/>
          <w:lang w:val="fr-FR"/>
        </w:rPr>
        <w:t xml:space="preserve"> concerne le </w:t>
      </w:r>
      <w:r w:rsidRPr="00D216B4">
        <w:rPr>
          <w:rFonts w:cs="Arial"/>
          <w:sz w:val="22"/>
          <w:szCs w:val="22"/>
          <w:u w:val="single"/>
          <w:lang w:val="fr-FR"/>
        </w:rPr>
        <w:t>régime « prime house »</w:t>
      </w:r>
      <w:r w:rsidRPr="00D216B4">
        <w:rPr>
          <w:rFonts w:cs="Arial"/>
          <w:sz w:val="22"/>
          <w:szCs w:val="22"/>
          <w:lang w:val="fr-FR"/>
        </w:rPr>
        <w:t>. Dans le cadre du programme « Neistart Lëtzebuerg », les aides financières du régime « prime house » avaient été substantiellement augmentées. Etaient visées les rénovations initiées d’ici la fin du 1</w:t>
      </w:r>
      <w:r w:rsidRPr="00D216B4">
        <w:rPr>
          <w:rFonts w:cs="Arial"/>
          <w:sz w:val="22"/>
          <w:szCs w:val="22"/>
          <w:vertAlign w:val="superscript"/>
          <w:lang w:val="fr-FR"/>
        </w:rPr>
        <w:t>er</w:t>
      </w:r>
      <w:r w:rsidRPr="00D216B4">
        <w:rPr>
          <w:rFonts w:cs="Arial"/>
          <w:sz w:val="22"/>
          <w:szCs w:val="22"/>
          <w:lang w:val="fr-FR"/>
        </w:rPr>
        <w:t xml:space="preserve"> trimestre 2021, ainsi que les installations techniques commandées au plus tard le 31 mars 2021. Les hausses de ces aides financières, limitées dans le temps, avaient nécessité un ajustement vers le haut, également limité dans le temps, des plafonds des aides définis dans la loi du 23 décembre 2016. L’article 50 </w:t>
      </w:r>
      <w:r w:rsidRPr="00D216B4">
        <w:rPr>
          <w:rFonts w:cs="Arial"/>
          <w:sz w:val="22"/>
          <w:szCs w:val="22"/>
          <w:u w:val="single"/>
          <w:lang w:val="fr-FR"/>
        </w:rPr>
        <w:t>étend la durée de validité de ces plafonds revus à la hausse</w:t>
      </w:r>
      <w:r w:rsidRPr="00D216B4">
        <w:rPr>
          <w:rFonts w:cs="Arial"/>
          <w:sz w:val="22"/>
          <w:szCs w:val="22"/>
          <w:lang w:val="fr-FR"/>
        </w:rPr>
        <w:t xml:space="preserve"> de neuf mois supplémentaires d’ici le 31 décembre 2021. </w:t>
      </w:r>
    </w:p>
    <w:p w:rsidR="004D21FF" w:rsidRPr="006A1522" w:rsidRDefault="004D21FF" w:rsidP="004D21FF">
      <w:pPr>
        <w:pStyle w:val="Retraitcorpsdetexte2"/>
        <w:ind w:left="284" w:firstLine="0"/>
        <w:rPr>
          <w:rFonts w:ascii="Calibri" w:hAnsi="Calibri" w:cs="Calibri"/>
          <w:color w:val="auto"/>
          <w:sz w:val="22"/>
          <w:szCs w:val="22"/>
          <w:lang w:val="fr-FR"/>
        </w:rPr>
      </w:pPr>
    </w:p>
    <w:p w:rsidR="004D21FF" w:rsidRPr="00985711" w:rsidRDefault="004D21FF" w:rsidP="00985711">
      <w:pPr>
        <w:pStyle w:val="Retraitcorpsdetexte2"/>
        <w:ind w:firstLine="0"/>
        <w:rPr>
          <w:rFonts w:ascii="Arial" w:hAnsi="Arial" w:cs="Arial"/>
          <w:color w:val="auto"/>
          <w:sz w:val="22"/>
          <w:szCs w:val="22"/>
          <w:lang w:val="fr-FR"/>
        </w:rPr>
      </w:pPr>
      <w:r w:rsidRPr="00985711">
        <w:rPr>
          <w:rFonts w:ascii="Arial" w:hAnsi="Arial" w:cs="Arial"/>
          <w:sz w:val="22"/>
          <w:szCs w:val="22"/>
          <w:u w:val="single"/>
          <w:lang w:val="fr-FR"/>
        </w:rPr>
        <w:t>L’article 53</w:t>
      </w:r>
      <w:r w:rsidRPr="00985711">
        <w:rPr>
          <w:rFonts w:ascii="Arial" w:hAnsi="Arial" w:cs="Arial"/>
          <w:sz w:val="22"/>
          <w:szCs w:val="22"/>
          <w:lang w:val="fr-FR"/>
        </w:rPr>
        <w:t xml:space="preserve"> a trait à la </w:t>
      </w:r>
      <w:r w:rsidRPr="00BE1673">
        <w:rPr>
          <w:rFonts w:ascii="Arial" w:hAnsi="Arial" w:cs="Arial"/>
          <w:color w:val="auto"/>
          <w:sz w:val="22"/>
          <w:szCs w:val="22"/>
          <w:u w:val="single"/>
          <w:lang w:val="fr-FR"/>
        </w:rPr>
        <w:t>gestion locative sociale</w:t>
      </w:r>
      <w:r w:rsidR="00985711" w:rsidRPr="00985711">
        <w:rPr>
          <w:rFonts w:ascii="Arial" w:hAnsi="Arial" w:cs="Arial"/>
          <w:color w:val="auto"/>
          <w:sz w:val="22"/>
          <w:szCs w:val="22"/>
          <w:lang w:val="fr-FR"/>
        </w:rPr>
        <w:t>.</w:t>
      </w:r>
      <w:r w:rsidRPr="00985711">
        <w:rPr>
          <w:rFonts w:ascii="Arial" w:hAnsi="Arial" w:cs="Arial"/>
          <w:color w:val="auto"/>
          <w:sz w:val="22"/>
          <w:szCs w:val="22"/>
          <w:lang w:val="fr-FR"/>
        </w:rPr>
        <w:t xml:space="preserve"> </w:t>
      </w:r>
      <w:r w:rsidR="00985711" w:rsidRPr="00985711">
        <w:rPr>
          <w:rFonts w:ascii="Arial" w:hAnsi="Arial" w:cs="Arial"/>
          <w:color w:val="auto"/>
          <w:sz w:val="22"/>
          <w:szCs w:val="22"/>
          <w:lang w:val="fr-FR"/>
        </w:rPr>
        <w:t xml:space="preserve">Il porte </w:t>
      </w:r>
      <w:r w:rsidRPr="00985711">
        <w:rPr>
          <w:rFonts w:ascii="Arial" w:hAnsi="Arial" w:cs="Arial"/>
          <w:color w:val="auto"/>
          <w:sz w:val="22"/>
          <w:szCs w:val="22"/>
          <w:lang w:val="fr-FR"/>
        </w:rPr>
        <w:t xml:space="preserve">la </w:t>
      </w:r>
      <w:r w:rsidRPr="00BE1673">
        <w:rPr>
          <w:rFonts w:ascii="Arial" w:hAnsi="Arial" w:cs="Arial"/>
          <w:color w:val="auto"/>
          <w:sz w:val="22"/>
          <w:szCs w:val="22"/>
          <w:u w:val="single"/>
          <w:lang w:val="fr-FR"/>
        </w:rPr>
        <w:t xml:space="preserve">participation </w:t>
      </w:r>
      <w:r w:rsidR="00985711" w:rsidRPr="00BE1673">
        <w:rPr>
          <w:rFonts w:ascii="Arial" w:hAnsi="Arial" w:cs="Arial"/>
          <w:color w:val="auto"/>
          <w:sz w:val="22"/>
          <w:szCs w:val="22"/>
          <w:u w:val="single"/>
          <w:lang w:val="fr-FR"/>
        </w:rPr>
        <w:t xml:space="preserve">étatique </w:t>
      </w:r>
      <w:r w:rsidRPr="00BE1673">
        <w:rPr>
          <w:rFonts w:ascii="Arial" w:hAnsi="Arial" w:cs="Arial"/>
          <w:color w:val="auto"/>
          <w:sz w:val="22"/>
          <w:szCs w:val="22"/>
          <w:u w:val="single"/>
          <w:lang w:val="fr-FR"/>
        </w:rPr>
        <w:t>forfaitaire de 100 à 120 euros par mois et par logement</w:t>
      </w:r>
      <w:r w:rsidRPr="00985711">
        <w:rPr>
          <w:rFonts w:ascii="Arial" w:hAnsi="Arial" w:cs="Arial"/>
          <w:color w:val="auto"/>
          <w:sz w:val="22"/>
          <w:szCs w:val="22"/>
          <w:lang w:val="fr-FR"/>
        </w:rPr>
        <w:t>, afin que celle-ci corresponde davantage aux besoins réels des acteurs sur le terrain.</w:t>
      </w:r>
      <w:r w:rsidR="00985711" w:rsidRPr="00985711">
        <w:rPr>
          <w:rFonts w:ascii="Arial" w:hAnsi="Arial" w:cs="Arial"/>
          <w:color w:val="auto"/>
          <w:sz w:val="22"/>
          <w:szCs w:val="22"/>
          <w:lang w:val="fr-FR"/>
        </w:rPr>
        <w:t xml:space="preserve"> </w:t>
      </w:r>
      <w:r w:rsidRPr="00985711">
        <w:rPr>
          <w:rFonts w:ascii="Arial" w:hAnsi="Arial" w:cs="Arial"/>
          <w:color w:val="auto"/>
          <w:sz w:val="22"/>
          <w:szCs w:val="22"/>
          <w:lang w:val="fr-FR"/>
        </w:rPr>
        <w:t>Dans la mesure où la participation financière forfaitaire de 120 euros par logement dans le cas d’une forme de cohabitation ne suffit pas à couvrir les frais de gestion de l’organisme conventionné, il est prévu de l’élever à 120 euros et en plus de la majorer de 20 euros pour chaque contrat de mise à disposition à partir du deuxième contrat de mise à disposition.</w:t>
      </w:r>
    </w:p>
    <w:p w:rsidR="004D21FF" w:rsidRPr="006A1522" w:rsidRDefault="004D21FF" w:rsidP="004D21FF">
      <w:pPr>
        <w:pStyle w:val="Retraitcorpsdetexte2"/>
        <w:ind w:left="284" w:firstLine="426"/>
        <w:rPr>
          <w:rFonts w:ascii="Calibri" w:hAnsi="Calibri" w:cs="Calibri"/>
          <w:color w:val="auto"/>
          <w:sz w:val="22"/>
          <w:szCs w:val="22"/>
          <w:lang w:val="fr-FR"/>
        </w:rPr>
      </w:pPr>
    </w:p>
    <w:p w:rsidR="00917F7A" w:rsidRPr="006627C9" w:rsidRDefault="00917F7A" w:rsidP="006627C9">
      <w:pPr>
        <w:pStyle w:val="Retraitcorpsdetexte2"/>
        <w:ind w:firstLine="0"/>
        <w:rPr>
          <w:rFonts w:ascii="Arial" w:hAnsi="Arial" w:cs="Arial"/>
          <w:sz w:val="22"/>
          <w:szCs w:val="22"/>
          <w:lang w:val="fr-FR"/>
        </w:rPr>
      </w:pPr>
      <w:r w:rsidRPr="006627C9">
        <w:rPr>
          <w:rFonts w:ascii="Arial" w:hAnsi="Arial" w:cs="Arial"/>
          <w:sz w:val="22"/>
          <w:szCs w:val="22"/>
          <w:u w:val="single"/>
          <w:lang w:val="fr-FR"/>
        </w:rPr>
        <w:t>L’article 54</w:t>
      </w:r>
      <w:r w:rsidRPr="006627C9">
        <w:rPr>
          <w:rFonts w:ascii="Arial" w:hAnsi="Arial" w:cs="Arial"/>
          <w:sz w:val="22"/>
          <w:szCs w:val="22"/>
          <w:lang w:val="fr-FR"/>
        </w:rPr>
        <w:t xml:space="preserve"> s’inscrit dans le contexte du </w:t>
      </w:r>
      <w:r w:rsidRPr="006627C9">
        <w:rPr>
          <w:rFonts w:ascii="Arial" w:hAnsi="Arial" w:cs="Arial"/>
          <w:sz w:val="22"/>
          <w:szCs w:val="22"/>
          <w:u w:val="single"/>
          <w:lang w:val="fr-FR"/>
        </w:rPr>
        <w:t>BREXIT</w:t>
      </w:r>
      <w:r w:rsidR="006627C9" w:rsidRPr="006627C9">
        <w:rPr>
          <w:rFonts w:ascii="Arial" w:hAnsi="Arial" w:cs="Arial"/>
          <w:sz w:val="22"/>
          <w:szCs w:val="22"/>
          <w:lang w:val="fr-FR"/>
        </w:rPr>
        <w:t xml:space="preserve">. </w:t>
      </w:r>
      <w:r w:rsidRPr="006627C9">
        <w:rPr>
          <w:rFonts w:ascii="Arial" w:hAnsi="Arial" w:cs="Arial"/>
          <w:sz w:val="22"/>
          <w:szCs w:val="22"/>
          <w:lang w:val="fr-FR"/>
        </w:rPr>
        <w:t xml:space="preserve">Il est apparu qu’il est nécessaire de créer de la sécurité juridique autour de l’exécution de </w:t>
      </w:r>
      <w:r w:rsidRPr="006627C9">
        <w:rPr>
          <w:rFonts w:ascii="Arial" w:hAnsi="Arial" w:cs="Arial"/>
          <w:sz w:val="22"/>
          <w:szCs w:val="22"/>
          <w:u w:val="single"/>
          <w:lang w:val="fr-FR"/>
        </w:rPr>
        <w:t>contrats d’assurance</w:t>
      </w:r>
      <w:r w:rsidRPr="006627C9">
        <w:rPr>
          <w:rFonts w:ascii="Arial" w:hAnsi="Arial" w:cs="Arial"/>
          <w:sz w:val="22"/>
          <w:szCs w:val="22"/>
          <w:lang w:val="fr-FR"/>
        </w:rPr>
        <w:t xml:space="preserve"> conclus antérieurement à la perte de l’autorisation d’une entreprise étrangère d’assurance directe de pratiquer des opérations d'assurance au Luxembourg. L’article </w:t>
      </w:r>
      <w:r w:rsidR="006627C9">
        <w:rPr>
          <w:rFonts w:ascii="Arial" w:hAnsi="Arial" w:cs="Arial"/>
          <w:sz w:val="22"/>
          <w:szCs w:val="22"/>
          <w:lang w:val="fr-FR"/>
        </w:rPr>
        <w:t xml:space="preserve">54 </w:t>
      </w:r>
      <w:r w:rsidRPr="006627C9">
        <w:rPr>
          <w:rFonts w:ascii="Arial" w:hAnsi="Arial" w:cs="Arial"/>
          <w:sz w:val="22"/>
          <w:szCs w:val="22"/>
          <w:lang w:val="fr-FR"/>
        </w:rPr>
        <w:t xml:space="preserve">dispose que ces contrats </w:t>
      </w:r>
      <w:r w:rsidRPr="006627C9">
        <w:rPr>
          <w:rFonts w:ascii="Arial" w:hAnsi="Arial" w:cs="Arial"/>
          <w:sz w:val="22"/>
          <w:szCs w:val="22"/>
          <w:u w:val="single"/>
          <w:lang w:val="fr-FR"/>
        </w:rPr>
        <w:t>restent valables</w:t>
      </w:r>
      <w:r w:rsidRPr="006627C9">
        <w:rPr>
          <w:rFonts w:ascii="Arial" w:hAnsi="Arial" w:cs="Arial"/>
          <w:sz w:val="22"/>
          <w:szCs w:val="22"/>
          <w:lang w:val="fr-FR"/>
        </w:rPr>
        <w:t xml:space="preserve"> et que l’exécution des engagements d’assurance résultant de tels contrats reste soumise aux dispositions de la loi modifiée du 27 juillet 1997 sur le contrat d'assurance. Ceci est d’autant plus important dans la mesure où les contrats d’assurance sont des relations contractuelles à long-terme avec des durées résiduelles pouvant courir jusqu’à 60 ans ou plus (comme par exemple pour des contrats d’assurance-vie à vie entière).</w:t>
      </w:r>
      <w:r w:rsidRPr="005255CF">
        <w:rPr>
          <w:rFonts w:ascii="Calibri" w:hAnsi="Calibri"/>
          <w:sz w:val="22"/>
          <w:szCs w:val="22"/>
          <w:lang w:val="fr-FR"/>
        </w:rPr>
        <w:t xml:space="preserve"> </w:t>
      </w:r>
      <w:r w:rsidR="006627C9" w:rsidRPr="006627C9">
        <w:rPr>
          <w:rFonts w:ascii="Arial" w:hAnsi="Arial" w:cs="Arial"/>
          <w:sz w:val="22"/>
          <w:szCs w:val="22"/>
          <w:lang w:val="fr-FR"/>
        </w:rPr>
        <w:t>L</w:t>
      </w:r>
      <w:r w:rsidRPr="006627C9">
        <w:rPr>
          <w:rFonts w:ascii="Arial" w:hAnsi="Arial" w:cs="Arial"/>
          <w:sz w:val="22"/>
          <w:szCs w:val="22"/>
          <w:lang w:val="fr-FR"/>
        </w:rPr>
        <w:t>es contrats existant au moment de la perte de l’autorisation ne pourront plus faire l’objet d’une reconduction - même tacite - ou d’opérations d'assurance directe donnant lieu à l'émission de primes. Cette interdiction ne concerne cependant pas le paiement de primes que le souscripteur est tenu de payer selon son contrat.</w:t>
      </w:r>
    </w:p>
    <w:p w:rsidR="00FA59ED" w:rsidRPr="00B359E8" w:rsidRDefault="00FA59ED" w:rsidP="00FA59ED">
      <w:pPr>
        <w:jc w:val="both"/>
        <w:rPr>
          <w:rFonts w:cs="Arial"/>
          <w:b/>
          <w:snapToGrid w:val="0"/>
          <w:color w:val="FF0000"/>
          <w:sz w:val="22"/>
          <w:szCs w:val="22"/>
          <w:lang w:val="fr-FR"/>
        </w:rPr>
      </w:pPr>
    </w:p>
    <w:p w:rsidR="004A7955" w:rsidRPr="004A7955" w:rsidRDefault="004A7955" w:rsidP="004A7955">
      <w:pPr>
        <w:jc w:val="both"/>
        <w:rPr>
          <w:rFonts w:cs="Arial"/>
          <w:sz w:val="22"/>
          <w:szCs w:val="22"/>
          <w:lang w:val="fr-FR"/>
        </w:rPr>
      </w:pPr>
      <w:r w:rsidRPr="004A7955">
        <w:rPr>
          <w:rFonts w:cs="Arial"/>
          <w:sz w:val="22"/>
          <w:szCs w:val="22"/>
          <w:u w:val="single"/>
          <w:lang w:val="fr-FR"/>
        </w:rPr>
        <w:t>L’article 55</w:t>
      </w:r>
      <w:r w:rsidRPr="004A7955">
        <w:rPr>
          <w:rFonts w:cs="Arial"/>
          <w:sz w:val="22"/>
          <w:szCs w:val="22"/>
          <w:lang w:val="fr-FR"/>
        </w:rPr>
        <w:t xml:space="preserve"> met en place la base légale nécessaire permettant au gouvernement de confirmer son </w:t>
      </w:r>
      <w:r w:rsidRPr="004A7955">
        <w:rPr>
          <w:rFonts w:cs="Arial"/>
          <w:sz w:val="22"/>
          <w:szCs w:val="22"/>
          <w:u w:val="single"/>
          <w:lang w:val="fr-FR"/>
        </w:rPr>
        <w:t>engagement financier envers le Fonds monétaire international</w:t>
      </w:r>
      <w:r w:rsidRPr="004A7955">
        <w:rPr>
          <w:rFonts w:cs="Arial"/>
          <w:sz w:val="22"/>
          <w:szCs w:val="22"/>
          <w:lang w:val="fr-FR"/>
        </w:rPr>
        <w:t xml:space="preserve"> à travers les accords d’emprunt bilatéraux (« Bilateral Borrowing Agreements, BBA ») et les nouveaux accords d’emprunt (« New Arrangements to Borrow, NAB »).</w:t>
      </w:r>
    </w:p>
    <w:p w:rsidR="008A6759" w:rsidRPr="00B359E8" w:rsidRDefault="008A6759" w:rsidP="005C1701">
      <w:pPr>
        <w:jc w:val="both"/>
        <w:rPr>
          <w:rFonts w:cs="Arial"/>
          <w:bCs/>
          <w:snapToGrid w:val="0"/>
          <w:color w:val="FF0000"/>
          <w:sz w:val="22"/>
          <w:szCs w:val="22"/>
          <w:lang w:val="fr-FR"/>
        </w:rPr>
      </w:pPr>
    </w:p>
    <w:sectPr w:rsidR="008A6759" w:rsidRPr="00B359E8" w:rsidSect="006C287A">
      <w:headerReference w:type="even" r:id="rId8"/>
      <w:footerReference w:type="even" r:id="rId9"/>
      <w:footerReference w:type="default" r:id="rId10"/>
      <w:endnotePr>
        <w:numFmt w:val="decimal"/>
      </w:endnotePr>
      <w:type w:val="continuous"/>
      <w:pgSz w:w="11907" w:h="16840" w:code="199"/>
      <w:pgMar w:top="1418"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8F" w:rsidRDefault="0033228F">
      <w:r>
        <w:separator/>
      </w:r>
    </w:p>
  </w:endnote>
  <w:endnote w:type="continuationSeparator" w:id="0">
    <w:p w:rsidR="0033228F" w:rsidRDefault="0033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00F6311E" w:rsidRPr="00F6311E">
      <w:rPr>
        <w:noProof/>
        <w:sz w:val="20"/>
        <w:lang w:val="fr-FR"/>
      </w:rPr>
      <w:t>1</w:t>
    </w:r>
    <w:r w:rsidRPr="008768EF">
      <w:rPr>
        <w:sz w:val="20"/>
      </w:rPr>
      <w:fldChar w:fldCharType="end"/>
    </w:r>
  </w:p>
  <w:p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8F" w:rsidRDefault="0033228F">
      <w:r>
        <w:separator/>
      </w:r>
    </w:p>
  </w:footnote>
  <w:footnote w:type="continuationSeparator" w:id="0">
    <w:p w:rsidR="0033228F" w:rsidRDefault="00332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rsidR="000F0C09" w:rsidRDefault="000F0C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A5D52C8"/>
    <w:multiLevelType w:val="hybridMultilevel"/>
    <w:tmpl w:val="0EAE7608"/>
    <w:lvl w:ilvl="0" w:tplc="B6324A8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5"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0096008"/>
    <w:multiLevelType w:val="singleLevel"/>
    <w:tmpl w:val="9B4E68E4"/>
    <w:lvl w:ilvl="0">
      <w:numFmt w:val="none"/>
      <w:pStyle w:val="Titre1"/>
      <w:lvlText w:val=""/>
      <w:lvlJc w:val="left"/>
      <w:pPr>
        <w:tabs>
          <w:tab w:val="num" w:pos="360"/>
        </w:tabs>
      </w:pPr>
    </w:lvl>
  </w:abstractNum>
  <w:abstractNum w:abstractNumId="8"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1AD175EB"/>
    <w:multiLevelType w:val="hybridMultilevel"/>
    <w:tmpl w:val="E18A2E22"/>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11" w15:restartNumberingAfterBreak="0">
    <w:nsid w:val="2E7867E8"/>
    <w:multiLevelType w:val="singleLevel"/>
    <w:tmpl w:val="604000D6"/>
    <w:lvl w:ilvl="0">
      <w:numFmt w:val="none"/>
      <w:pStyle w:val="Lgende"/>
      <w:lvlText w:val=""/>
      <w:lvlJc w:val="left"/>
      <w:pPr>
        <w:tabs>
          <w:tab w:val="num" w:pos="360"/>
        </w:tabs>
      </w:pPr>
    </w:lvl>
  </w:abstractNum>
  <w:abstractNum w:abstractNumId="12" w15:restartNumberingAfterBreak="0">
    <w:nsid w:val="323974DE"/>
    <w:multiLevelType w:val="hybridMultilevel"/>
    <w:tmpl w:val="90E675A6"/>
    <w:lvl w:ilvl="0" w:tplc="3C10898C">
      <w:start w:val="15"/>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5363437C"/>
    <w:multiLevelType w:val="hybridMultilevel"/>
    <w:tmpl w:val="495CE142"/>
    <w:lvl w:ilvl="0" w:tplc="558A04CE">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1"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num w:numId="1">
    <w:abstractNumId w:val="7"/>
  </w:num>
  <w:num w:numId="2">
    <w:abstractNumId w:val="11"/>
  </w:num>
  <w:num w:numId="3">
    <w:abstractNumId w:val="4"/>
  </w:num>
  <w:num w:numId="4">
    <w:abstractNumId w:val="15"/>
  </w:num>
  <w:num w:numId="5">
    <w:abstractNumId w:val="20"/>
  </w:num>
  <w:num w:numId="6">
    <w:abstractNumId w:val="10"/>
  </w:num>
  <w:num w:numId="7">
    <w:abstractNumId w:val="8"/>
  </w:num>
  <w:num w:numId="8">
    <w:abstractNumId w:val="5"/>
  </w:num>
  <w:num w:numId="9">
    <w:abstractNumId w:val="6"/>
  </w:num>
  <w:num w:numId="10">
    <w:abstractNumId w:val="1"/>
  </w:num>
  <w:num w:numId="11">
    <w:abstractNumId w:val="2"/>
  </w:num>
  <w:num w:numId="12">
    <w:abstractNumId w:val="18"/>
  </w:num>
  <w:num w:numId="13">
    <w:abstractNumId w:val="14"/>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3"/>
  </w:num>
  <w:num w:numId="21">
    <w:abstractNumId w:val="9"/>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AE"/>
    <w:rsid w:val="0000012C"/>
    <w:rsid w:val="00003185"/>
    <w:rsid w:val="00003346"/>
    <w:rsid w:val="000060DD"/>
    <w:rsid w:val="000063A8"/>
    <w:rsid w:val="00006956"/>
    <w:rsid w:val="0000756F"/>
    <w:rsid w:val="00010FDA"/>
    <w:rsid w:val="00012024"/>
    <w:rsid w:val="0001232E"/>
    <w:rsid w:val="0001261A"/>
    <w:rsid w:val="00012B1D"/>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618F"/>
    <w:rsid w:val="00056C88"/>
    <w:rsid w:val="0005731E"/>
    <w:rsid w:val="000573B0"/>
    <w:rsid w:val="00060748"/>
    <w:rsid w:val="00060E9A"/>
    <w:rsid w:val="000610BD"/>
    <w:rsid w:val="00062819"/>
    <w:rsid w:val="000639E3"/>
    <w:rsid w:val="00064A66"/>
    <w:rsid w:val="00066BBA"/>
    <w:rsid w:val="000676B5"/>
    <w:rsid w:val="000679A4"/>
    <w:rsid w:val="0007233A"/>
    <w:rsid w:val="0007344B"/>
    <w:rsid w:val="0007430D"/>
    <w:rsid w:val="00074F1F"/>
    <w:rsid w:val="00075C22"/>
    <w:rsid w:val="00075CC1"/>
    <w:rsid w:val="000774D6"/>
    <w:rsid w:val="00077938"/>
    <w:rsid w:val="00077D33"/>
    <w:rsid w:val="00077DB3"/>
    <w:rsid w:val="000801A0"/>
    <w:rsid w:val="000803F2"/>
    <w:rsid w:val="00080450"/>
    <w:rsid w:val="0008071D"/>
    <w:rsid w:val="00081D06"/>
    <w:rsid w:val="000823A9"/>
    <w:rsid w:val="000828B8"/>
    <w:rsid w:val="0008316B"/>
    <w:rsid w:val="000846B2"/>
    <w:rsid w:val="000868C4"/>
    <w:rsid w:val="000868EC"/>
    <w:rsid w:val="000874AB"/>
    <w:rsid w:val="000913D5"/>
    <w:rsid w:val="00096173"/>
    <w:rsid w:val="0009650B"/>
    <w:rsid w:val="0009652C"/>
    <w:rsid w:val="000A1016"/>
    <w:rsid w:val="000A108B"/>
    <w:rsid w:val="000A1570"/>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D0A"/>
    <w:rsid w:val="00112164"/>
    <w:rsid w:val="00113CCC"/>
    <w:rsid w:val="00113F65"/>
    <w:rsid w:val="00115427"/>
    <w:rsid w:val="00115AC4"/>
    <w:rsid w:val="001167A2"/>
    <w:rsid w:val="00117B41"/>
    <w:rsid w:val="00120BAB"/>
    <w:rsid w:val="0012207A"/>
    <w:rsid w:val="001230F7"/>
    <w:rsid w:val="001238E1"/>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819"/>
    <w:rsid w:val="00195658"/>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7103"/>
    <w:rsid w:val="001E7426"/>
    <w:rsid w:val="001F04FD"/>
    <w:rsid w:val="001F07B3"/>
    <w:rsid w:val="001F0C9E"/>
    <w:rsid w:val="001F150E"/>
    <w:rsid w:val="001F21BF"/>
    <w:rsid w:val="001F2CB4"/>
    <w:rsid w:val="001F2E22"/>
    <w:rsid w:val="001F66D8"/>
    <w:rsid w:val="001F7F4E"/>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E0E"/>
    <w:rsid w:val="002241CC"/>
    <w:rsid w:val="002243DF"/>
    <w:rsid w:val="00225177"/>
    <w:rsid w:val="002252AB"/>
    <w:rsid w:val="00225837"/>
    <w:rsid w:val="002264CF"/>
    <w:rsid w:val="00226FF3"/>
    <w:rsid w:val="00227647"/>
    <w:rsid w:val="00230156"/>
    <w:rsid w:val="00230522"/>
    <w:rsid w:val="00232A04"/>
    <w:rsid w:val="00232BDE"/>
    <w:rsid w:val="002331FE"/>
    <w:rsid w:val="002334B4"/>
    <w:rsid w:val="0023422E"/>
    <w:rsid w:val="00234969"/>
    <w:rsid w:val="002358A6"/>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CA4"/>
    <w:rsid w:val="00295F9D"/>
    <w:rsid w:val="00296380"/>
    <w:rsid w:val="00296F95"/>
    <w:rsid w:val="002A04E6"/>
    <w:rsid w:val="002A076E"/>
    <w:rsid w:val="002A16E7"/>
    <w:rsid w:val="002A4246"/>
    <w:rsid w:val="002A4876"/>
    <w:rsid w:val="002A7D76"/>
    <w:rsid w:val="002B2B24"/>
    <w:rsid w:val="002B2D2B"/>
    <w:rsid w:val="002B4CA6"/>
    <w:rsid w:val="002B4D52"/>
    <w:rsid w:val="002B67C9"/>
    <w:rsid w:val="002B73AF"/>
    <w:rsid w:val="002B79B8"/>
    <w:rsid w:val="002C0E41"/>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F9C"/>
    <w:rsid w:val="002E11A5"/>
    <w:rsid w:val="002E271D"/>
    <w:rsid w:val="002E4CC2"/>
    <w:rsid w:val="002E53F0"/>
    <w:rsid w:val="002E7EE9"/>
    <w:rsid w:val="002F0D27"/>
    <w:rsid w:val="002F31FA"/>
    <w:rsid w:val="002F47E2"/>
    <w:rsid w:val="002F4C87"/>
    <w:rsid w:val="002F4D4A"/>
    <w:rsid w:val="002F532C"/>
    <w:rsid w:val="002F62FA"/>
    <w:rsid w:val="002F6CA2"/>
    <w:rsid w:val="00301123"/>
    <w:rsid w:val="003031A5"/>
    <w:rsid w:val="00304913"/>
    <w:rsid w:val="00307FD9"/>
    <w:rsid w:val="003102EA"/>
    <w:rsid w:val="003113AA"/>
    <w:rsid w:val="003119ED"/>
    <w:rsid w:val="00311BDE"/>
    <w:rsid w:val="00312589"/>
    <w:rsid w:val="003126B3"/>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28F"/>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71E32"/>
    <w:rsid w:val="00372DDB"/>
    <w:rsid w:val="00372F3F"/>
    <w:rsid w:val="00373C1A"/>
    <w:rsid w:val="00373F94"/>
    <w:rsid w:val="003746D4"/>
    <w:rsid w:val="00376248"/>
    <w:rsid w:val="003771D6"/>
    <w:rsid w:val="00377A91"/>
    <w:rsid w:val="00380364"/>
    <w:rsid w:val="003805DD"/>
    <w:rsid w:val="00380954"/>
    <w:rsid w:val="00380DF8"/>
    <w:rsid w:val="00383203"/>
    <w:rsid w:val="00383886"/>
    <w:rsid w:val="0038459F"/>
    <w:rsid w:val="00385076"/>
    <w:rsid w:val="00390CCE"/>
    <w:rsid w:val="00391B9F"/>
    <w:rsid w:val="00392B9E"/>
    <w:rsid w:val="00394F8F"/>
    <w:rsid w:val="003953A9"/>
    <w:rsid w:val="00395590"/>
    <w:rsid w:val="00396C6F"/>
    <w:rsid w:val="003A069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7C6B"/>
    <w:rsid w:val="003C077E"/>
    <w:rsid w:val="003C18C7"/>
    <w:rsid w:val="003C231E"/>
    <w:rsid w:val="003C3ED5"/>
    <w:rsid w:val="003C4B46"/>
    <w:rsid w:val="003D0018"/>
    <w:rsid w:val="003D0F8B"/>
    <w:rsid w:val="003D1EB7"/>
    <w:rsid w:val="003D232F"/>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14A9"/>
    <w:rsid w:val="003F2090"/>
    <w:rsid w:val="003F233B"/>
    <w:rsid w:val="003F2941"/>
    <w:rsid w:val="003F3134"/>
    <w:rsid w:val="003F352E"/>
    <w:rsid w:val="003F4820"/>
    <w:rsid w:val="003F5D51"/>
    <w:rsid w:val="003F7761"/>
    <w:rsid w:val="00400D9B"/>
    <w:rsid w:val="00401398"/>
    <w:rsid w:val="004037D7"/>
    <w:rsid w:val="00403965"/>
    <w:rsid w:val="00404543"/>
    <w:rsid w:val="00405713"/>
    <w:rsid w:val="00406025"/>
    <w:rsid w:val="00406761"/>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5650"/>
    <w:rsid w:val="00425B63"/>
    <w:rsid w:val="00427058"/>
    <w:rsid w:val="0042745D"/>
    <w:rsid w:val="00427575"/>
    <w:rsid w:val="0043123C"/>
    <w:rsid w:val="00431E4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2241"/>
    <w:rsid w:val="004630C2"/>
    <w:rsid w:val="0046492A"/>
    <w:rsid w:val="00466FFF"/>
    <w:rsid w:val="00467D1E"/>
    <w:rsid w:val="004701D7"/>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7D"/>
    <w:rsid w:val="00493B94"/>
    <w:rsid w:val="0049421D"/>
    <w:rsid w:val="0049610C"/>
    <w:rsid w:val="004A155C"/>
    <w:rsid w:val="004A2925"/>
    <w:rsid w:val="004A3BFD"/>
    <w:rsid w:val="004A3F9A"/>
    <w:rsid w:val="004A6D24"/>
    <w:rsid w:val="004A6DC5"/>
    <w:rsid w:val="004A6E94"/>
    <w:rsid w:val="004A7955"/>
    <w:rsid w:val="004B0583"/>
    <w:rsid w:val="004B122E"/>
    <w:rsid w:val="004B15F6"/>
    <w:rsid w:val="004B1F42"/>
    <w:rsid w:val="004B2DB7"/>
    <w:rsid w:val="004B3D1B"/>
    <w:rsid w:val="004B4DFE"/>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21FF"/>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BA2"/>
    <w:rsid w:val="004F1590"/>
    <w:rsid w:val="004F40CC"/>
    <w:rsid w:val="004F6295"/>
    <w:rsid w:val="004F7BF0"/>
    <w:rsid w:val="0050001F"/>
    <w:rsid w:val="00500E58"/>
    <w:rsid w:val="00501758"/>
    <w:rsid w:val="00501800"/>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3123"/>
    <w:rsid w:val="0055428C"/>
    <w:rsid w:val="0055657B"/>
    <w:rsid w:val="00556FFB"/>
    <w:rsid w:val="00561705"/>
    <w:rsid w:val="00562957"/>
    <w:rsid w:val="00562B19"/>
    <w:rsid w:val="00562EED"/>
    <w:rsid w:val="005635CC"/>
    <w:rsid w:val="005647C0"/>
    <w:rsid w:val="00564A31"/>
    <w:rsid w:val="00566959"/>
    <w:rsid w:val="00570DC7"/>
    <w:rsid w:val="00570E80"/>
    <w:rsid w:val="005711F9"/>
    <w:rsid w:val="005727B1"/>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D9"/>
    <w:rsid w:val="0059217F"/>
    <w:rsid w:val="005934AE"/>
    <w:rsid w:val="005939DB"/>
    <w:rsid w:val="005944F6"/>
    <w:rsid w:val="00594BBC"/>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6707"/>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8F9"/>
    <w:rsid w:val="005D4CB3"/>
    <w:rsid w:val="005D5AA3"/>
    <w:rsid w:val="005D630E"/>
    <w:rsid w:val="005D7C65"/>
    <w:rsid w:val="005E144B"/>
    <w:rsid w:val="005E3647"/>
    <w:rsid w:val="005E3C2F"/>
    <w:rsid w:val="005E484D"/>
    <w:rsid w:val="005E49FB"/>
    <w:rsid w:val="005E7900"/>
    <w:rsid w:val="005F03E0"/>
    <w:rsid w:val="005F14AB"/>
    <w:rsid w:val="005F18B8"/>
    <w:rsid w:val="005F2128"/>
    <w:rsid w:val="005F32C9"/>
    <w:rsid w:val="005F4FE7"/>
    <w:rsid w:val="006005F6"/>
    <w:rsid w:val="00601911"/>
    <w:rsid w:val="00601BD3"/>
    <w:rsid w:val="00601EB3"/>
    <w:rsid w:val="00602357"/>
    <w:rsid w:val="0060393D"/>
    <w:rsid w:val="00603DC9"/>
    <w:rsid w:val="00604445"/>
    <w:rsid w:val="00605786"/>
    <w:rsid w:val="00605947"/>
    <w:rsid w:val="00610D9C"/>
    <w:rsid w:val="006125B9"/>
    <w:rsid w:val="00613126"/>
    <w:rsid w:val="006135F6"/>
    <w:rsid w:val="00613C6A"/>
    <w:rsid w:val="0061411C"/>
    <w:rsid w:val="0061492A"/>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27C9"/>
    <w:rsid w:val="0066375D"/>
    <w:rsid w:val="006651D1"/>
    <w:rsid w:val="00665425"/>
    <w:rsid w:val="006659E2"/>
    <w:rsid w:val="00665FAC"/>
    <w:rsid w:val="00670032"/>
    <w:rsid w:val="00670067"/>
    <w:rsid w:val="00671C73"/>
    <w:rsid w:val="00672A11"/>
    <w:rsid w:val="006730AD"/>
    <w:rsid w:val="00674050"/>
    <w:rsid w:val="006750D5"/>
    <w:rsid w:val="006766FE"/>
    <w:rsid w:val="0068086F"/>
    <w:rsid w:val="006816A3"/>
    <w:rsid w:val="00682385"/>
    <w:rsid w:val="006828F4"/>
    <w:rsid w:val="006837CA"/>
    <w:rsid w:val="006871B6"/>
    <w:rsid w:val="0069154F"/>
    <w:rsid w:val="00692EED"/>
    <w:rsid w:val="006959FC"/>
    <w:rsid w:val="0069623F"/>
    <w:rsid w:val="00696478"/>
    <w:rsid w:val="00697DD5"/>
    <w:rsid w:val="006A0112"/>
    <w:rsid w:val="006A0BED"/>
    <w:rsid w:val="006A0BF7"/>
    <w:rsid w:val="006A104E"/>
    <w:rsid w:val="006A1306"/>
    <w:rsid w:val="006A1522"/>
    <w:rsid w:val="006A286B"/>
    <w:rsid w:val="006A3A6A"/>
    <w:rsid w:val="006A3FD2"/>
    <w:rsid w:val="006A4022"/>
    <w:rsid w:val="006A506A"/>
    <w:rsid w:val="006A768A"/>
    <w:rsid w:val="006A7ED3"/>
    <w:rsid w:val="006B0A73"/>
    <w:rsid w:val="006B11DE"/>
    <w:rsid w:val="006B1259"/>
    <w:rsid w:val="006B2ADC"/>
    <w:rsid w:val="006B3674"/>
    <w:rsid w:val="006B4DC7"/>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65D8"/>
    <w:rsid w:val="007206D9"/>
    <w:rsid w:val="007216A5"/>
    <w:rsid w:val="00721D66"/>
    <w:rsid w:val="0072452F"/>
    <w:rsid w:val="007251EE"/>
    <w:rsid w:val="0072669B"/>
    <w:rsid w:val="0072769E"/>
    <w:rsid w:val="00730A4B"/>
    <w:rsid w:val="00730E76"/>
    <w:rsid w:val="007328EA"/>
    <w:rsid w:val="007329A3"/>
    <w:rsid w:val="0073636D"/>
    <w:rsid w:val="007427AD"/>
    <w:rsid w:val="007432B3"/>
    <w:rsid w:val="00743D62"/>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A59"/>
    <w:rsid w:val="00822056"/>
    <w:rsid w:val="00822C41"/>
    <w:rsid w:val="008242D3"/>
    <w:rsid w:val="008266A2"/>
    <w:rsid w:val="00826B54"/>
    <w:rsid w:val="00830256"/>
    <w:rsid w:val="00830BBC"/>
    <w:rsid w:val="00832D1A"/>
    <w:rsid w:val="00833269"/>
    <w:rsid w:val="008338BC"/>
    <w:rsid w:val="008344C5"/>
    <w:rsid w:val="00834D5A"/>
    <w:rsid w:val="0083572E"/>
    <w:rsid w:val="00836C69"/>
    <w:rsid w:val="00837137"/>
    <w:rsid w:val="008377DA"/>
    <w:rsid w:val="008378B3"/>
    <w:rsid w:val="00837E8D"/>
    <w:rsid w:val="008411E9"/>
    <w:rsid w:val="0084122D"/>
    <w:rsid w:val="00842335"/>
    <w:rsid w:val="00842EB1"/>
    <w:rsid w:val="008456CF"/>
    <w:rsid w:val="00846C27"/>
    <w:rsid w:val="00852D84"/>
    <w:rsid w:val="008535C3"/>
    <w:rsid w:val="008549E9"/>
    <w:rsid w:val="00855529"/>
    <w:rsid w:val="00856136"/>
    <w:rsid w:val="008562D1"/>
    <w:rsid w:val="008571EB"/>
    <w:rsid w:val="0085724C"/>
    <w:rsid w:val="00857805"/>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510"/>
    <w:rsid w:val="008E531C"/>
    <w:rsid w:val="008E6568"/>
    <w:rsid w:val="008E6B80"/>
    <w:rsid w:val="008E7B28"/>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17F7A"/>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E27"/>
    <w:rsid w:val="0095417C"/>
    <w:rsid w:val="00954C86"/>
    <w:rsid w:val="00956BA3"/>
    <w:rsid w:val="00956CB2"/>
    <w:rsid w:val="009577F5"/>
    <w:rsid w:val="0096070D"/>
    <w:rsid w:val="00960ED6"/>
    <w:rsid w:val="0096228D"/>
    <w:rsid w:val="009627D9"/>
    <w:rsid w:val="0096369D"/>
    <w:rsid w:val="009638CE"/>
    <w:rsid w:val="00963A2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5711"/>
    <w:rsid w:val="009875A7"/>
    <w:rsid w:val="009876B8"/>
    <w:rsid w:val="009877F0"/>
    <w:rsid w:val="009903AB"/>
    <w:rsid w:val="009907B0"/>
    <w:rsid w:val="00992CEB"/>
    <w:rsid w:val="009932FC"/>
    <w:rsid w:val="00993EC9"/>
    <w:rsid w:val="00994821"/>
    <w:rsid w:val="00994EC5"/>
    <w:rsid w:val="0099532F"/>
    <w:rsid w:val="0099615D"/>
    <w:rsid w:val="009A2DF0"/>
    <w:rsid w:val="009A49F6"/>
    <w:rsid w:val="009A5764"/>
    <w:rsid w:val="009A700A"/>
    <w:rsid w:val="009B0F38"/>
    <w:rsid w:val="009B15A1"/>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100"/>
    <w:rsid w:val="00A24F03"/>
    <w:rsid w:val="00A24FFA"/>
    <w:rsid w:val="00A2791E"/>
    <w:rsid w:val="00A27935"/>
    <w:rsid w:val="00A27DF0"/>
    <w:rsid w:val="00A311F2"/>
    <w:rsid w:val="00A3125F"/>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EE2"/>
    <w:rsid w:val="00A63262"/>
    <w:rsid w:val="00A638EE"/>
    <w:rsid w:val="00A6390E"/>
    <w:rsid w:val="00A6451A"/>
    <w:rsid w:val="00A6481E"/>
    <w:rsid w:val="00A65332"/>
    <w:rsid w:val="00A66730"/>
    <w:rsid w:val="00A67883"/>
    <w:rsid w:val="00A70C69"/>
    <w:rsid w:val="00A71109"/>
    <w:rsid w:val="00A7309F"/>
    <w:rsid w:val="00A7348B"/>
    <w:rsid w:val="00A771ED"/>
    <w:rsid w:val="00A77391"/>
    <w:rsid w:val="00A80083"/>
    <w:rsid w:val="00A81B56"/>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8F6"/>
    <w:rsid w:val="00AA6D79"/>
    <w:rsid w:val="00AA781E"/>
    <w:rsid w:val="00AB08F6"/>
    <w:rsid w:val="00AB123D"/>
    <w:rsid w:val="00AB2767"/>
    <w:rsid w:val="00AB332A"/>
    <w:rsid w:val="00AB428E"/>
    <w:rsid w:val="00AB5931"/>
    <w:rsid w:val="00AB60E4"/>
    <w:rsid w:val="00AB7035"/>
    <w:rsid w:val="00AB7C8B"/>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59E8"/>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B664B"/>
    <w:rsid w:val="00BC1866"/>
    <w:rsid w:val="00BC39E0"/>
    <w:rsid w:val="00BC68A6"/>
    <w:rsid w:val="00BC6D59"/>
    <w:rsid w:val="00BD20D6"/>
    <w:rsid w:val="00BD2293"/>
    <w:rsid w:val="00BD5A0A"/>
    <w:rsid w:val="00BD5C89"/>
    <w:rsid w:val="00BD5F0E"/>
    <w:rsid w:val="00BD610F"/>
    <w:rsid w:val="00BD6220"/>
    <w:rsid w:val="00BD654B"/>
    <w:rsid w:val="00BD7C68"/>
    <w:rsid w:val="00BE0229"/>
    <w:rsid w:val="00BE135D"/>
    <w:rsid w:val="00BE1673"/>
    <w:rsid w:val="00BE18A7"/>
    <w:rsid w:val="00BE3843"/>
    <w:rsid w:val="00BE4E22"/>
    <w:rsid w:val="00BE577C"/>
    <w:rsid w:val="00BE65B5"/>
    <w:rsid w:val="00BF02DB"/>
    <w:rsid w:val="00BF0FA3"/>
    <w:rsid w:val="00BF18E2"/>
    <w:rsid w:val="00BF28FB"/>
    <w:rsid w:val="00C01553"/>
    <w:rsid w:val="00C01BC8"/>
    <w:rsid w:val="00C02D10"/>
    <w:rsid w:val="00C0329E"/>
    <w:rsid w:val="00C03D61"/>
    <w:rsid w:val="00C045DA"/>
    <w:rsid w:val="00C0643E"/>
    <w:rsid w:val="00C0719E"/>
    <w:rsid w:val="00C0720F"/>
    <w:rsid w:val="00C073A8"/>
    <w:rsid w:val="00C076D9"/>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700D9"/>
    <w:rsid w:val="00C709C5"/>
    <w:rsid w:val="00C7144D"/>
    <w:rsid w:val="00C71667"/>
    <w:rsid w:val="00C74586"/>
    <w:rsid w:val="00C74B34"/>
    <w:rsid w:val="00C773EE"/>
    <w:rsid w:val="00C7755C"/>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744D"/>
    <w:rsid w:val="00CC7EBF"/>
    <w:rsid w:val="00CD162D"/>
    <w:rsid w:val="00CD2A3B"/>
    <w:rsid w:val="00CD57F7"/>
    <w:rsid w:val="00CD609B"/>
    <w:rsid w:val="00CE068F"/>
    <w:rsid w:val="00CE1139"/>
    <w:rsid w:val="00CE128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840"/>
    <w:rsid w:val="00D07D7E"/>
    <w:rsid w:val="00D103E5"/>
    <w:rsid w:val="00D10F97"/>
    <w:rsid w:val="00D1119D"/>
    <w:rsid w:val="00D12E2E"/>
    <w:rsid w:val="00D142D0"/>
    <w:rsid w:val="00D15F60"/>
    <w:rsid w:val="00D17176"/>
    <w:rsid w:val="00D17DA9"/>
    <w:rsid w:val="00D20846"/>
    <w:rsid w:val="00D216B4"/>
    <w:rsid w:val="00D24A1C"/>
    <w:rsid w:val="00D24D0F"/>
    <w:rsid w:val="00D2554C"/>
    <w:rsid w:val="00D25857"/>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90F7B"/>
    <w:rsid w:val="00D914E6"/>
    <w:rsid w:val="00D923B1"/>
    <w:rsid w:val="00D92A8D"/>
    <w:rsid w:val="00D92D7A"/>
    <w:rsid w:val="00D934F6"/>
    <w:rsid w:val="00D9382B"/>
    <w:rsid w:val="00D9695E"/>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E00B50"/>
    <w:rsid w:val="00E02A5C"/>
    <w:rsid w:val="00E034C7"/>
    <w:rsid w:val="00E0564D"/>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EAD"/>
    <w:rsid w:val="00F24634"/>
    <w:rsid w:val="00F25E65"/>
    <w:rsid w:val="00F25F80"/>
    <w:rsid w:val="00F270C5"/>
    <w:rsid w:val="00F2741B"/>
    <w:rsid w:val="00F27AC4"/>
    <w:rsid w:val="00F314A0"/>
    <w:rsid w:val="00F315FB"/>
    <w:rsid w:val="00F3219A"/>
    <w:rsid w:val="00F34E31"/>
    <w:rsid w:val="00F350EA"/>
    <w:rsid w:val="00F3711F"/>
    <w:rsid w:val="00F37738"/>
    <w:rsid w:val="00F40DF8"/>
    <w:rsid w:val="00F410EF"/>
    <w:rsid w:val="00F428D6"/>
    <w:rsid w:val="00F42ADC"/>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11E"/>
    <w:rsid w:val="00F63AAD"/>
    <w:rsid w:val="00F63C9D"/>
    <w:rsid w:val="00F63D90"/>
    <w:rsid w:val="00F643C9"/>
    <w:rsid w:val="00F65745"/>
    <w:rsid w:val="00F6718C"/>
    <w:rsid w:val="00F67268"/>
    <w:rsid w:val="00F672C1"/>
    <w:rsid w:val="00F674F5"/>
    <w:rsid w:val="00F67915"/>
    <w:rsid w:val="00F67A6C"/>
    <w:rsid w:val="00F67D4F"/>
    <w:rsid w:val="00F709A4"/>
    <w:rsid w:val="00F70BCC"/>
    <w:rsid w:val="00F70CFA"/>
    <w:rsid w:val="00F71547"/>
    <w:rsid w:val="00F717C2"/>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BDB2BE45-E780-424F-8501-40AC187E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4"/>
    <w:rPr>
      <w:rFonts w:ascii="Arial" w:hAnsi="Arial"/>
      <w:color w:val="000000"/>
      <w:sz w:val="24"/>
      <w:lang w:val="en-US" w:eastAsia="fr-FR"/>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lang w:val="fr-FR"/>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val="fr-FR"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val="fr-FR" w:eastAsia="en-US"/>
    </w:rPr>
  </w:style>
  <w:style w:type="paragraph" w:customStyle="1" w:styleId="retrait">
    <w:name w:val="retrait"/>
    <w:basedOn w:val="Normal"/>
    <w:pPr>
      <w:spacing w:line="360" w:lineRule="auto"/>
      <w:ind w:left="1134" w:firstLine="851"/>
      <w:jc w:val="both"/>
    </w:pPr>
    <w:rPr>
      <w:rFonts w:ascii="Courier New" w:hAnsi="Courier New"/>
      <w:color w:val="auto"/>
      <w:sz w:val="20"/>
      <w:lang w:val="fr-FR"/>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lang w:val="fr-FR"/>
    </w:rPr>
  </w:style>
  <w:style w:type="paragraph" w:styleId="Textebrut">
    <w:name w:val="Plain Text"/>
    <w:basedOn w:val="Normal"/>
    <w:link w:val="TextebrutCar"/>
    <w:uiPriority w:val="99"/>
    <w:rPr>
      <w:rFonts w:ascii="Courier New" w:hAnsi="Courier New"/>
      <w:color w:val="auto"/>
      <w:sz w:val="20"/>
      <w:lang w:val="fr-FR"/>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lang w:val="fr-FR"/>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lang w:val="fr-FR"/>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val="fr-FR"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lang w:val="fr-FR"/>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lang w:val="fr-FR"/>
    </w:rPr>
  </w:style>
  <w:style w:type="paragraph" w:customStyle="1" w:styleId="Default">
    <w:name w:val="Default"/>
    <w:basedOn w:val="Normal"/>
    <w:rsid w:val="00B76032"/>
    <w:pPr>
      <w:autoSpaceDE w:val="0"/>
      <w:autoSpaceDN w:val="0"/>
    </w:pPr>
    <w:rPr>
      <w:rFonts w:ascii="Swis721 BT" w:eastAsia="Calibri" w:hAnsi="Swis721 BT"/>
      <w:szCs w:val="24"/>
      <w:lang w:val="fr-FR"/>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link w:val="Notedebasdepage"/>
    <w:rsid w:val="005972B5"/>
    <w:rPr>
      <w:rFonts w:ascii="Arial" w:hAnsi="Arial"/>
      <w:color w:val="000000"/>
      <w:lang w:val="en-US"/>
    </w:rPr>
  </w:style>
  <w:style w:type="character" w:customStyle="1" w:styleId="TextebrutCar">
    <w:name w:val="Texte brut Car"/>
    <w:link w:val="Textebrut"/>
    <w:uiPriority w:val="99"/>
    <w:rsid w:val="00632FB3"/>
    <w:rPr>
      <w:rFonts w:ascii="Courier New" w:hAnsi="Courier New"/>
    </w:rPr>
  </w:style>
  <w:style w:type="character" w:customStyle="1" w:styleId="PieddepageCar">
    <w:name w:val="Pied de page Car"/>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42B2464-627B-4F65-8B0E-ED0072989BCD}">
  <ds:schemaRefs>
    <ds:schemaRef ds:uri="http://schemas.openxmlformats.org/officeDocument/2006/bibliography"/>
  </ds:schemaRefs>
</ds:datastoreItem>
</file>

<file path=customXml/itemProps2.xml><?xml version="1.0" encoding="utf-8"?>
<ds:datastoreItem xmlns:ds="http://schemas.openxmlformats.org/officeDocument/2006/customXml" ds:itemID="{6B196DCF-BD3A-4541-912B-4CCD5E6ECBD1}"/>
</file>

<file path=customXml/itemProps3.xml><?xml version="1.0" encoding="utf-8"?>
<ds:datastoreItem xmlns:ds="http://schemas.openxmlformats.org/officeDocument/2006/customXml" ds:itemID="{B8E30D76-D237-4B66-B301-85A03884DC11}"/>
</file>

<file path=customXml/itemProps4.xml><?xml version="1.0" encoding="utf-8"?>
<ds:datastoreItem xmlns:ds="http://schemas.openxmlformats.org/officeDocument/2006/customXml" ds:itemID="{5424B1D9-AFDA-48AA-80AE-78684F4AAF9D}"/>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12045</Characters>
  <Application>Microsoft Office Word</Application>
  <DocSecurity>4</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ifincbs</dc:creator>
  <cp:keywords/>
  <cp:lastModifiedBy>SYSTEM</cp:lastModifiedBy>
  <cp:revision>2</cp:revision>
  <cp:lastPrinted>2019-11-27T14:50:00Z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0x0101009AD48296FC59154C86E57830F1108F5800205CDB3668D96E44868C86FFB81C2782</vt:lpwstr>
  </property>
</Properties>
</file>