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6D3" w:rsidRPr="001C63F0" w:rsidRDefault="004426D3" w:rsidP="001C63F0">
      <w:pPr>
        <w:spacing w:after="0" w:line="276" w:lineRule="auto"/>
        <w:jc w:val="center"/>
        <w:rPr>
          <w:rFonts w:ascii="Arial" w:hAnsi="Arial" w:cs="Arial"/>
          <w:b/>
          <w:bCs/>
          <w:lang w:val="fr-FR"/>
        </w:rPr>
      </w:pPr>
      <w:bookmarkStart w:id="0" w:name="_GoBack"/>
      <w:bookmarkEnd w:id="0"/>
      <w:r w:rsidRPr="001C63F0">
        <w:rPr>
          <w:rFonts w:ascii="Arial" w:hAnsi="Arial" w:cs="Arial"/>
          <w:b/>
          <w:bCs/>
          <w:lang w:val="fr-FR"/>
        </w:rPr>
        <w:t>7648  / « pacte logement 2.0 »</w:t>
      </w:r>
    </w:p>
    <w:p w:rsidR="004426D3" w:rsidRDefault="004426D3" w:rsidP="004426D3">
      <w:pPr>
        <w:spacing w:after="0" w:line="276" w:lineRule="auto"/>
        <w:jc w:val="both"/>
        <w:rPr>
          <w:rFonts w:ascii="Arial" w:hAnsi="Arial" w:cs="Arial"/>
          <w:lang w:val="fr-FR"/>
        </w:rPr>
      </w:pPr>
    </w:p>
    <w:p w:rsidR="004426D3" w:rsidRDefault="004426D3" w:rsidP="004426D3">
      <w:pPr>
        <w:spacing w:after="0" w:line="276" w:lineRule="auto"/>
        <w:jc w:val="both"/>
        <w:rPr>
          <w:rFonts w:ascii="Arial" w:hAnsi="Arial" w:cs="Arial"/>
          <w:lang w:val="fr-FR"/>
        </w:rPr>
      </w:pPr>
    </w:p>
    <w:p w:rsidR="004426D3" w:rsidRPr="004426D3" w:rsidRDefault="004426D3" w:rsidP="004426D3">
      <w:pPr>
        <w:spacing w:after="0" w:line="276" w:lineRule="auto"/>
        <w:jc w:val="both"/>
        <w:rPr>
          <w:rFonts w:ascii="Arial" w:hAnsi="Arial" w:cs="Arial"/>
          <w:lang w:val="fr-FR"/>
        </w:rPr>
      </w:pPr>
      <w:r w:rsidRPr="004426D3">
        <w:rPr>
          <w:rFonts w:ascii="Arial" w:hAnsi="Arial" w:cs="Arial"/>
          <w:lang w:val="fr-FR"/>
        </w:rPr>
        <w:t xml:space="preserve">Faisant suite au premier Pacte logement introduit par la loi modifiée du 22 octobre 2008 portant promotion de l’habitat et création d’un pacte logement avec les communes et venu à échéance fin 2020, l’objectif principal du Pacte logement 2.0 est de soutenir les communes comme partenaire central du gouvernement dans le développement de logements. </w:t>
      </w:r>
    </w:p>
    <w:p w:rsidR="004426D3" w:rsidRPr="004426D3" w:rsidRDefault="004426D3" w:rsidP="004426D3">
      <w:pPr>
        <w:spacing w:after="0" w:line="276" w:lineRule="auto"/>
        <w:jc w:val="both"/>
        <w:rPr>
          <w:rFonts w:ascii="Arial" w:hAnsi="Arial" w:cs="Arial"/>
          <w:lang w:val="fr-FR"/>
        </w:rPr>
      </w:pPr>
    </w:p>
    <w:p w:rsidR="004426D3" w:rsidRPr="004426D3" w:rsidRDefault="004426D3" w:rsidP="004426D3">
      <w:pPr>
        <w:spacing w:after="0" w:line="276" w:lineRule="auto"/>
        <w:jc w:val="both"/>
        <w:rPr>
          <w:rFonts w:ascii="Arial" w:hAnsi="Arial" w:cs="Arial"/>
          <w:lang w:val="fr-FR"/>
        </w:rPr>
      </w:pPr>
      <w:r w:rsidRPr="004426D3">
        <w:rPr>
          <w:rFonts w:ascii="Arial" w:hAnsi="Arial" w:cs="Arial"/>
          <w:lang w:val="fr-FR"/>
        </w:rPr>
        <w:t xml:space="preserve">Le Pacte logement 2.0 poursuit les trois objectifs suivants : </w:t>
      </w:r>
    </w:p>
    <w:p w:rsidR="004426D3" w:rsidRPr="004426D3" w:rsidRDefault="004426D3" w:rsidP="004426D3">
      <w:pPr>
        <w:numPr>
          <w:ilvl w:val="0"/>
          <w:numId w:val="1"/>
        </w:numPr>
        <w:autoSpaceDE w:val="0"/>
        <w:autoSpaceDN w:val="0"/>
        <w:adjustRightInd w:val="0"/>
        <w:spacing w:after="53" w:line="276" w:lineRule="auto"/>
        <w:jc w:val="both"/>
        <w:rPr>
          <w:rFonts w:ascii="Arial" w:hAnsi="Arial" w:cs="Arial"/>
          <w:color w:val="000000"/>
          <w:lang w:val="fr-FR"/>
        </w:rPr>
      </w:pPr>
      <w:r w:rsidRPr="004426D3">
        <w:rPr>
          <w:rFonts w:ascii="Arial" w:hAnsi="Arial" w:cs="Arial"/>
          <w:color w:val="000000"/>
          <w:lang w:val="fr-FR"/>
        </w:rPr>
        <w:t xml:space="preserve">a) augmenter l’offre de logements abordables et durables ; </w:t>
      </w:r>
    </w:p>
    <w:p w:rsidR="004426D3" w:rsidRPr="004426D3" w:rsidRDefault="004426D3" w:rsidP="004426D3">
      <w:pPr>
        <w:numPr>
          <w:ilvl w:val="0"/>
          <w:numId w:val="1"/>
        </w:numPr>
        <w:autoSpaceDE w:val="0"/>
        <w:autoSpaceDN w:val="0"/>
        <w:adjustRightInd w:val="0"/>
        <w:spacing w:after="53" w:line="276" w:lineRule="auto"/>
        <w:jc w:val="both"/>
        <w:rPr>
          <w:rFonts w:ascii="Arial" w:hAnsi="Arial" w:cs="Arial"/>
          <w:color w:val="000000"/>
          <w:lang w:val="fr-FR"/>
        </w:rPr>
      </w:pPr>
      <w:r w:rsidRPr="004426D3">
        <w:rPr>
          <w:rFonts w:ascii="Arial" w:hAnsi="Arial" w:cs="Arial"/>
          <w:color w:val="000000"/>
          <w:lang w:val="fr-FR"/>
        </w:rPr>
        <w:t xml:space="preserve">b) mobiliser le potentiel foncier et résidentiel existant ; </w:t>
      </w:r>
    </w:p>
    <w:p w:rsidR="004426D3" w:rsidRPr="004426D3" w:rsidRDefault="004426D3" w:rsidP="004426D3">
      <w:pPr>
        <w:numPr>
          <w:ilvl w:val="0"/>
          <w:numId w:val="1"/>
        </w:numPr>
        <w:autoSpaceDE w:val="0"/>
        <w:autoSpaceDN w:val="0"/>
        <w:adjustRightInd w:val="0"/>
        <w:spacing w:after="0" w:line="276" w:lineRule="auto"/>
        <w:jc w:val="both"/>
        <w:rPr>
          <w:rFonts w:ascii="Arial" w:hAnsi="Arial" w:cs="Arial"/>
          <w:color w:val="000000"/>
          <w:lang w:val="fr-FR"/>
        </w:rPr>
      </w:pPr>
      <w:r w:rsidRPr="004426D3">
        <w:rPr>
          <w:rFonts w:ascii="Arial" w:hAnsi="Arial" w:cs="Arial"/>
          <w:color w:val="000000"/>
          <w:lang w:val="fr-FR"/>
        </w:rPr>
        <w:t xml:space="preserve">c) améliorer la qualité résidentielle. </w:t>
      </w:r>
    </w:p>
    <w:p w:rsidR="004426D3" w:rsidRPr="004426D3" w:rsidRDefault="004426D3" w:rsidP="004426D3">
      <w:pPr>
        <w:autoSpaceDE w:val="0"/>
        <w:autoSpaceDN w:val="0"/>
        <w:adjustRightInd w:val="0"/>
        <w:spacing w:after="0" w:line="276" w:lineRule="auto"/>
        <w:rPr>
          <w:rFonts w:ascii="Arial" w:hAnsi="Arial" w:cs="Arial"/>
          <w:color w:val="000000"/>
          <w:lang w:val="fr-FR"/>
        </w:rPr>
      </w:pPr>
    </w:p>
    <w:p w:rsidR="004426D3" w:rsidRPr="004426D3" w:rsidRDefault="004426D3" w:rsidP="004426D3">
      <w:pPr>
        <w:autoSpaceDE w:val="0"/>
        <w:autoSpaceDN w:val="0"/>
        <w:adjustRightInd w:val="0"/>
        <w:spacing w:after="0" w:line="276" w:lineRule="auto"/>
        <w:rPr>
          <w:rFonts w:ascii="Arial" w:hAnsi="Arial" w:cs="Arial"/>
          <w:b/>
          <w:bCs/>
          <w:color w:val="000000"/>
          <w:lang w:val="fr-FR"/>
        </w:rPr>
      </w:pPr>
      <w:r w:rsidRPr="004426D3">
        <w:rPr>
          <w:rFonts w:ascii="Arial" w:hAnsi="Arial" w:cs="Arial"/>
          <w:b/>
          <w:bCs/>
          <w:color w:val="000000"/>
          <w:lang w:val="fr-FR"/>
        </w:rPr>
        <w:t>Du premier au deuxième Pacte logement</w:t>
      </w:r>
    </w:p>
    <w:p w:rsidR="004426D3" w:rsidRPr="004426D3" w:rsidRDefault="004426D3" w:rsidP="004426D3">
      <w:pPr>
        <w:autoSpaceDE w:val="0"/>
        <w:autoSpaceDN w:val="0"/>
        <w:adjustRightInd w:val="0"/>
        <w:spacing w:after="0" w:line="276" w:lineRule="auto"/>
        <w:rPr>
          <w:rFonts w:ascii="Arial" w:hAnsi="Arial" w:cs="Arial"/>
          <w:color w:val="000000"/>
          <w:lang w:val="fr-FR"/>
        </w:rPr>
      </w:pPr>
    </w:p>
    <w:p w:rsidR="004426D3" w:rsidRDefault="004426D3" w:rsidP="004426D3">
      <w:pPr>
        <w:spacing w:after="0" w:line="276" w:lineRule="auto"/>
        <w:jc w:val="both"/>
        <w:rPr>
          <w:rFonts w:ascii="Arial" w:hAnsi="Arial" w:cs="Arial"/>
          <w:lang w:val="fr-FR"/>
        </w:rPr>
      </w:pPr>
      <w:r w:rsidRPr="004426D3">
        <w:rPr>
          <w:rFonts w:ascii="Arial" w:hAnsi="Arial" w:cs="Arial"/>
          <w:lang w:val="fr-FR"/>
        </w:rPr>
        <w:t xml:space="preserve">Le Pacte logement 1.0 a permis de soutenir les communes avec +/- 40 millions d’euros par an pour réussir leur développement démographique par le financement des infrastructures publiques et seulement marginalement le développement du logement abordable. Seulement 2,2% des dépenses ont soutenu directement la création de logements. </w:t>
      </w:r>
    </w:p>
    <w:p w:rsidR="004426D3" w:rsidRPr="004426D3" w:rsidRDefault="004426D3" w:rsidP="004426D3">
      <w:pPr>
        <w:spacing w:after="0" w:line="276" w:lineRule="auto"/>
        <w:jc w:val="both"/>
        <w:rPr>
          <w:rFonts w:ascii="Arial" w:hAnsi="Arial" w:cs="Arial"/>
          <w:lang w:val="fr-FR"/>
        </w:rPr>
      </w:pPr>
    </w:p>
    <w:p w:rsidR="004426D3" w:rsidRPr="004426D3" w:rsidRDefault="004426D3" w:rsidP="004426D3">
      <w:pPr>
        <w:spacing w:after="0" w:line="276" w:lineRule="auto"/>
        <w:jc w:val="both"/>
        <w:rPr>
          <w:rFonts w:ascii="Arial" w:eastAsia="Times New Roman" w:hAnsi="Arial" w:cs="Arial"/>
          <w:b/>
          <w:lang w:val="fr-FR" w:eastAsia="fr-FR"/>
        </w:rPr>
      </w:pPr>
      <w:r w:rsidRPr="004426D3">
        <w:rPr>
          <w:rFonts w:ascii="Arial" w:eastAsia="Times New Roman" w:hAnsi="Arial" w:cs="Arial"/>
          <w:b/>
          <w:lang w:val="fr-FR" w:eastAsia="fr-FR"/>
        </w:rPr>
        <w:t xml:space="preserve">Eléments essentiels du Pacte logement 2.0 </w:t>
      </w:r>
    </w:p>
    <w:p w:rsidR="004426D3" w:rsidRPr="004426D3" w:rsidRDefault="004426D3" w:rsidP="004426D3">
      <w:pPr>
        <w:spacing w:after="0" w:line="276" w:lineRule="auto"/>
        <w:jc w:val="both"/>
        <w:rPr>
          <w:rFonts w:ascii="Arial" w:eastAsia="Times New Roman" w:hAnsi="Arial" w:cs="Arial"/>
          <w:b/>
          <w:lang w:val="fr-FR" w:eastAsia="fr-FR"/>
        </w:rPr>
      </w:pPr>
    </w:p>
    <w:p w:rsidR="004426D3" w:rsidRPr="004426D3" w:rsidRDefault="004426D3" w:rsidP="004426D3">
      <w:pPr>
        <w:spacing w:after="0" w:line="276" w:lineRule="auto"/>
        <w:jc w:val="both"/>
        <w:rPr>
          <w:rFonts w:ascii="Arial" w:hAnsi="Arial" w:cs="Arial"/>
          <w:lang w:val="fr-FR"/>
        </w:rPr>
      </w:pPr>
      <w:r w:rsidRPr="004426D3">
        <w:rPr>
          <w:rFonts w:ascii="Arial" w:hAnsi="Arial" w:cs="Arial"/>
          <w:lang w:val="fr-FR"/>
        </w:rPr>
        <w:t xml:space="preserve">Le Pacte logement 2.0 opère un changement de paradigme sur le plan financier. L’enveloppe maximale des participations financières accordées aux communes est calculée en fonction du nombre de logements abordables créés sur le territoire de la commune et bénéficiant d’une participation financière de la part du Ministère du Logement, y compris les logements gérés à travers le régime de la gestion locative sociale, et non plus en fonction de la simple croissance démographique. </w:t>
      </w:r>
    </w:p>
    <w:p w:rsidR="004426D3" w:rsidRPr="004426D3" w:rsidRDefault="004426D3" w:rsidP="004426D3">
      <w:pPr>
        <w:spacing w:after="0" w:line="276" w:lineRule="auto"/>
        <w:jc w:val="both"/>
        <w:rPr>
          <w:rFonts w:ascii="Arial" w:eastAsia="Times New Roman" w:hAnsi="Arial" w:cs="Arial"/>
          <w:bCs/>
          <w:lang w:val="fr-FR" w:eastAsia="fr-FR"/>
        </w:rPr>
      </w:pPr>
    </w:p>
    <w:p w:rsidR="004426D3" w:rsidRPr="004426D3" w:rsidRDefault="004426D3" w:rsidP="004426D3">
      <w:pPr>
        <w:autoSpaceDE w:val="0"/>
        <w:autoSpaceDN w:val="0"/>
        <w:adjustRightInd w:val="0"/>
        <w:spacing w:after="0" w:line="276" w:lineRule="auto"/>
        <w:jc w:val="both"/>
        <w:rPr>
          <w:rFonts w:ascii="Arial" w:hAnsi="Arial" w:cs="Arial"/>
          <w:color w:val="000000"/>
          <w:lang w:val="fr-FR"/>
        </w:rPr>
      </w:pPr>
      <w:r w:rsidRPr="004426D3">
        <w:rPr>
          <w:rFonts w:ascii="Arial" w:hAnsi="Arial" w:cs="Arial"/>
          <w:color w:val="000000"/>
          <w:lang w:val="fr-FR"/>
        </w:rPr>
        <w:t>Toute commune souhaitant participer au Pacte logement 2.0 doit conclure avec l’Etat</w:t>
      </w:r>
      <w:r w:rsidR="001C63F0">
        <w:rPr>
          <w:rFonts w:ascii="Arial" w:hAnsi="Arial" w:cs="Arial"/>
          <w:color w:val="000000"/>
          <w:lang w:val="fr-FR"/>
        </w:rPr>
        <w:t xml:space="preserve"> </w:t>
      </w:r>
      <w:r w:rsidRPr="004426D3">
        <w:rPr>
          <w:rFonts w:ascii="Arial" w:hAnsi="Arial" w:cs="Arial"/>
          <w:color w:val="000000"/>
          <w:lang w:val="fr-FR"/>
        </w:rPr>
        <w:t xml:space="preserve">une Convention initiale. </w:t>
      </w:r>
    </w:p>
    <w:p w:rsidR="004426D3" w:rsidRPr="004426D3" w:rsidRDefault="004426D3" w:rsidP="004426D3">
      <w:pPr>
        <w:autoSpaceDE w:val="0"/>
        <w:autoSpaceDN w:val="0"/>
        <w:adjustRightInd w:val="0"/>
        <w:spacing w:after="0" w:line="276" w:lineRule="auto"/>
        <w:jc w:val="both"/>
        <w:rPr>
          <w:rFonts w:ascii="Arial" w:hAnsi="Arial" w:cs="Arial"/>
          <w:color w:val="000000"/>
          <w:lang w:val="fr-FR"/>
        </w:rPr>
      </w:pPr>
    </w:p>
    <w:p w:rsidR="004426D3" w:rsidRPr="004426D3" w:rsidRDefault="004426D3" w:rsidP="004426D3">
      <w:pPr>
        <w:spacing w:after="0" w:line="276" w:lineRule="auto"/>
        <w:rPr>
          <w:rFonts w:ascii="Arial" w:hAnsi="Arial" w:cs="Arial"/>
          <w:b/>
          <w:bCs/>
          <w:color w:val="000000"/>
          <w:lang w:val="fr-FR"/>
        </w:rPr>
      </w:pPr>
      <w:r w:rsidRPr="004426D3">
        <w:rPr>
          <w:rFonts w:ascii="Arial" w:hAnsi="Arial" w:cs="Arial"/>
          <w:b/>
          <w:bCs/>
          <w:color w:val="000000"/>
          <w:lang w:val="fr-FR"/>
        </w:rPr>
        <w:t>Le Conseiller logement</w:t>
      </w:r>
    </w:p>
    <w:p w:rsidR="004426D3" w:rsidRPr="004426D3" w:rsidRDefault="004426D3" w:rsidP="004426D3">
      <w:pPr>
        <w:spacing w:after="0" w:line="276" w:lineRule="auto"/>
        <w:rPr>
          <w:rFonts w:ascii="Arial" w:hAnsi="Arial" w:cs="Arial"/>
          <w:b/>
          <w:bCs/>
          <w:color w:val="000000"/>
          <w:lang w:val="fr-FR"/>
        </w:rPr>
      </w:pPr>
    </w:p>
    <w:p w:rsidR="004426D3" w:rsidRPr="004426D3" w:rsidRDefault="004426D3" w:rsidP="004426D3">
      <w:pPr>
        <w:autoSpaceDE w:val="0"/>
        <w:autoSpaceDN w:val="0"/>
        <w:adjustRightInd w:val="0"/>
        <w:spacing w:after="0" w:line="276" w:lineRule="auto"/>
        <w:jc w:val="both"/>
        <w:rPr>
          <w:rFonts w:ascii="Arial" w:hAnsi="Arial" w:cs="Arial"/>
          <w:color w:val="000000"/>
          <w:lang w:val="fr-FR"/>
        </w:rPr>
      </w:pPr>
      <w:r w:rsidRPr="004426D3">
        <w:rPr>
          <w:rFonts w:ascii="Arial" w:hAnsi="Arial" w:cs="Arial"/>
          <w:color w:val="000000"/>
          <w:lang w:val="fr-FR"/>
        </w:rPr>
        <w:t>Le Conseiller logement joue un rôle important dans la mise en œuvre du Pacte logement 2.0 au niveau communal. Sa fonction peut être assurée par un expert externe ou, au choix de la commune, par un ou plusieurs employés communaux. Par ailleurs, plusieurs communes peuvent se partager un Conseiller logement.</w:t>
      </w:r>
    </w:p>
    <w:p w:rsidR="004426D3" w:rsidRPr="004426D3" w:rsidRDefault="004426D3" w:rsidP="004426D3">
      <w:pPr>
        <w:spacing w:after="0" w:line="276" w:lineRule="auto"/>
        <w:ind w:right="-6"/>
        <w:jc w:val="both"/>
        <w:rPr>
          <w:rFonts w:ascii="Arial" w:hAnsi="Arial" w:cs="Arial"/>
          <w:lang w:val="fr-FR"/>
        </w:rPr>
      </w:pPr>
    </w:p>
    <w:p w:rsidR="004426D3" w:rsidRPr="004426D3" w:rsidRDefault="004426D3" w:rsidP="004426D3">
      <w:pPr>
        <w:spacing w:after="0" w:line="276" w:lineRule="auto"/>
        <w:ind w:right="-6"/>
        <w:jc w:val="both"/>
        <w:rPr>
          <w:rFonts w:ascii="Arial" w:hAnsi="Arial" w:cs="Arial"/>
          <w:b/>
          <w:bCs/>
          <w:lang w:val="fr-FR"/>
        </w:rPr>
      </w:pPr>
      <w:r w:rsidRPr="004426D3">
        <w:rPr>
          <w:rFonts w:ascii="Arial" w:hAnsi="Arial" w:cs="Arial"/>
          <w:b/>
          <w:bCs/>
          <w:lang w:val="fr-FR"/>
        </w:rPr>
        <w:t xml:space="preserve">Modification de la loi sur l’aménagement communal et le développement urbain </w:t>
      </w:r>
    </w:p>
    <w:p w:rsidR="004426D3" w:rsidRPr="004426D3" w:rsidRDefault="004426D3" w:rsidP="004426D3">
      <w:pPr>
        <w:spacing w:after="0" w:line="276" w:lineRule="auto"/>
        <w:ind w:right="-6"/>
        <w:jc w:val="both"/>
        <w:rPr>
          <w:rFonts w:ascii="Arial" w:hAnsi="Arial" w:cs="Arial"/>
          <w:lang w:val="fr-FR"/>
        </w:rPr>
      </w:pPr>
    </w:p>
    <w:p w:rsidR="004426D3" w:rsidRPr="004426D3" w:rsidRDefault="004426D3" w:rsidP="004426D3">
      <w:pPr>
        <w:spacing w:after="0" w:line="276" w:lineRule="auto"/>
        <w:ind w:right="-6"/>
        <w:jc w:val="both"/>
        <w:rPr>
          <w:rFonts w:ascii="Arial" w:hAnsi="Arial" w:cs="Arial"/>
          <w:lang w:val="fr-FR"/>
        </w:rPr>
      </w:pPr>
      <w:r w:rsidRPr="004426D3">
        <w:rPr>
          <w:rFonts w:ascii="Arial" w:hAnsi="Arial" w:cs="Arial"/>
          <w:lang w:val="fr-FR"/>
        </w:rPr>
        <w:t xml:space="preserve">Pour chaque nouveau PAP « nouveau quartier », une partie définie (voir tableau ci-dessous) de la surface construite brute destinée au logement est réservée au logement abordable. Ce terrain est cédé à la commune ou à l’Etat. </w:t>
      </w:r>
      <w:r w:rsidRPr="004426D3">
        <w:rPr>
          <w:rFonts w:ascii="Arial" w:hAnsi="Arial" w:cs="Arial"/>
        </w:rPr>
        <w:t xml:space="preserve">Un promoteur public autre que la commune peut se substituer au ministre ayant le Logement dans ses attributions en cas de renonciation par l’Etat. </w:t>
      </w:r>
      <w:r w:rsidRPr="004426D3">
        <w:rPr>
          <w:rFonts w:ascii="Arial" w:hAnsi="Arial" w:cs="Arial"/>
          <w:lang w:val="fr-FR"/>
        </w:rPr>
        <w:t>En contrepartie, le potentiel constructible réservé au logement au niveau dudit PAP est augmenté de 10% par rapport au PAG.</w:t>
      </w:r>
    </w:p>
    <w:p w:rsidR="004426D3" w:rsidRPr="004426D3" w:rsidRDefault="004426D3" w:rsidP="004426D3">
      <w:pPr>
        <w:spacing w:after="0" w:line="276" w:lineRule="auto"/>
        <w:ind w:right="-6"/>
        <w:jc w:val="both"/>
        <w:rPr>
          <w:rFonts w:ascii="Arial" w:hAnsi="Arial" w:cs="Arial"/>
          <w:lang w:val="fr-FR"/>
        </w:rPr>
      </w:pPr>
    </w:p>
    <w:p w:rsidR="004426D3" w:rsidRPr="004426D3" w:rsidRDefault="004426D3" w:rsidP="004426D3">
      <w:pPr>
        <w:spacing w:after="0" w:line="276" w:lineRule="auto"/>
        <w:ind w:right="-6"/>
        <w:jc w:val="both"/>
        <w:rPr>
          <w:rFonts w:ascii="Arial" w:hAnsi="Arial" w:cs="Arial"/>
          <w:sz w:val="20"/>
          <w:szCs w:val="20"/>
          <w:lang w:val="fr-FR"/>
        </w:rPr>
      </w:pPr>
      <w:r w:rsidRPr="004426D3">
        <w:rPr>
          <w:rFonts w:ascii="Arial" w:hAnsi="Arial" w:cs="Arial"/>
          <w:sz w:val="20"/>
          <w:szCs w:val="20"/>
          <w:u w:val="single"/>
          <w:lang w:val="fr-FR"/>
        </w:rPr>
        <w:t>Tableau  :</w:t>
      </w:r>
      <w:r w:rsidRPr="004426D3">
        <w:rPr>
          <w:rFonts w:ascii="Arial" w:hAnsi="Arial" w:cs="Arial"/>
          <w:sz w:val="20"/>
          <w:szCs w:val="20"/>
          <w:lang w:val="fr-FR"/>
        </w:rPr>
        <w:t xml:space="preserve"> Part de la Surface construite brute (logement) à réserver au logement abordable</w:t>
      </w:r>
    </w:p>
    <w:p w:rsidR="004426D3" w:rsidRPr="004426D3" w:rsidRDefault="004426D3" w:rsidP="004426D3">
      <w:pPr>
        <w:spacing w:after="0" w:line="276" w:lineRule="auto"/>
        <w:ind w:right="-6"/>
        <w:jc w:val="both"/>
        <w:rPr>
          <w:rFonts w:ascii="Arial" w:hAnsi="Arial" w:cs="Arial"/>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4426D3" w:rsidRPr="004426D3" w:rsidTr="00F60CE2">
        <w:tc>
          <w:tcPr>
            <w:tcW w:w="4508" w:type="dxa"/>
            <w:shd w:val="clear" w:color="auto" w:fill="auto"/>
          </w:tcPr>
          <w:p w:rsidR="004426D3" w:rsidRPr="004426D3" w:rsidRDefault="004426D3" w:rsidP="004426D3">
            <w:pPr>
              <w:spacing w:after="0" w:line="276" w:lineRule="auto"/>
              <w:ind w:right="-6"/>
              <w:jc w:val="both"/>
              <w:rPr>
                <w:rFonts w:ascii="Arial" w:hAnsi="Arial" w:cs="Arial"/>
                <w:b/>
                <w:bCs/>
                <w:sz w:val="20"/>
                <w:szCs w:val="20"/>
                <w:lang w:val="fr-FR"/>
              </w:rPr>
            </w:pPr>
            <w:r w:rsidRPr="004426D3">
              <w:rPr>
                <w:rFonts w:ascii="Arial" w:hAnsi="Arial" w:cs="Arial"/>
                <w:b/>
                <w:bCs/>
                <w:sz w:val="20"/>
                <w:szCs w:val="20"/>
                <w:lang w:val="fr-FR"/>
              </w:rPr>
              <w:t>Taille du PAP « nouveau quartier »</w:t>
            </w:r>
          </w:p>
        </w:tc>
        <w:tc>
          <w:tcPr>
            <w:tcW w:w="4508" w:type="dxa"/>
            <w:shd w:val="clear" w:color="auto" w:fill="auto"/>
          </w:tcPr>
          <w:p w:rsidR="004426D3" w:rsidRPr="004426D3" w:rsidRDefault="004426D3" w:rsidP="004426D3">
            <w:pPr>
              <w:spacing w:after="0" w:line="276" w:lineRule="auto"/>
              <w:ind w:right="-6"/>
              <w:jc w:val="both"/>
              <w:rPr>
                <w:rFonts w:ascii="Arial" w:hAnsi="Arial" w:cs="Arial"/>
                <w:b/>
                <w:bCs/>
                <w:sz w:val="20"/>
                <w:szCs w:val="20"/>
                <w:lang w:val="fr-FR"/>
              </w:rPr>
            </w:pPr>
            <w:r w:rsidRPr="004426D3">
              <w:rPr>
                <w:rFonts w:ascii="Arial" w:hAnsi="Arial" w:cs="Arial"/>
                <w:b/>
                <w:bCs/>
                <w:sz w:val="20"/>
                <w:szCs w:val="20"/>
                <w:lang w:val="fr-FR"/>
              </w:rPr>
              <w:t>Part de la surface construite brute (logement) à réserver au logement abordable</w:t>
            </w:r>
          </w:p>
        </w:tc>
      </w:tr>
      <w:tr w:rsidR="004426D3" w:rsidRPr="004426D3" w:rsidTr="00F60CE2">
        <w:tc>
          <w:tcPr>
            <w:tcW w:w="9016" w:type="dxa"/>
            <w:gridSpan w:val="2"/>
            <w:shd w:val="clear" w:color="auto" w:fill="auto"/>
          </w:tcPr>
          <w:p w:rsidR="004426D3" w:rsidRPr="004426D3" w:rsidRDefault="004426D3" w:rsidP="004426D3">
            <w:pPr>
              <w:spacing w:after="0" w:line="276" w:lineRule="auto"/>
              <w:ind w:right="-6"/>
              <w:jc w:val="both"/>
              <w:rPr>
                <w:rFonts w:ascii="Arial" w:hAnsi="Arial" w:cs="Arial"/>
                <w:i/>
                <w:iCs/>
                <w:lang w:val="fr-FR"/>
              </w:rPr>
            </w:pPr>
            <w:r w:rsidRPr="004426D3">
              <w:rPr>
                <w:rFonts w:ascii="Arial" w:hAnsi="Arial" w:cs="Arial"/>
                <w:i/>
                <w:iCs/>
                <w:lang w:val="fr-FR"/>
              </w:rPr>
              <w:t xml:space="preserve">en zone déjà constructible </w:t>
            </w:r>
          </w:p>
        </w:tc>
      </w:tr>
      <w:tr w:rsidR="004426D3" w:rsidRPr="004426D3" w:rsidTr="00F60CE2">
        <w:tc>
          <w:tcPr>
            <w:tcW w:w="4508" w:type="dxa"/>
            <w:shd w:val="clear" w:color="auto" w:fill="auto"/>
          </w:tcPr>
          <w:p w:rsidR="004426D3" w:rsidRPr="004426D3" w:rsidRDefault="004426D3" w:rsidP="004426D3">
            <w:pPr>
              <w:spacing w:after="0" w:line="276" w:lineRule="auto"/>
              <w:ind w:right="-6"/>
              <w:jc w:val="both"/>
              <w:rPr>
                <w:rFonts w:ascii="Arial" w:hAnsi="Arial" w:cs="Arial"/>
                <w:lang w:val="fr-FR"/>
              </w:rPr>
            </w:pPr>
            <w:r w:rsidRPr="004426D3">
              <w:rPr>
                <w:rFonts w:ascii="Arial" w:hAnsi="Arial" w:cs="Arial"/>
                <w:lang w:val="fr-FR"/>
              </w:rPr>
              <w:t xml:space="preserve">10-25 logements </w:t>
            </w:r>
          </w:p>
        </w:tc>
        <w:tc>
          <w:tcPr>
            <w:tcW w:w="4508" w:type="dxa"/>
            <w:shd w:val="clear" w:color="auto" w:fill="auto"/>
          </w:tcPr>
          <w:p w:rsidR="004426D3" w:rsidRPr="004426D3" w:rsidRDefault="004426D3" w:rsidP="004426D3">
            <w:pPr>
              <w:spacing w:after="0" w:line="276" w:lineRule="auto"/>
              <w:ind w:right="-6"/>
              <w:jc w:val="both"/>
              <w:rPr>
                <w:rFonts w:ascii="Arial" w:hAnsi="Arial" w:cs="Arial"/>
                <w:lang w:val="fr-FR"/>
              </w:rPr>
            </w:pPr>
            <w:r w:rsidRPr="004426D3">
              <w:rPr>
                <w:rFonts w:ascii="Arial" w:hAnsi="Arial" w:cs="Arial"/>
                <w:lang w:val="fr-FR"/>
              </w:rPr>
              <w:t>Au moins 10%</w:t>
            </w:r>
          </w:p>
        </w:tc>
      </w:tr>
      <w:tr w:rsidR="004426D3" w:rsidRPr="004426D3" w:rsidTr="00F60CE2">
        <w:tc>
          <w:tcPr>
            <w:tcW w:w="4508" w:type="dxa"/>
            <w:shd w:val="clear" w:color="auto" w:fill="auto"/>
          </w:tcPr>
          <w:p w:rsidR="004426D3" w:rsidRPr="004426D3" w:rsidRDefault="004426D3" w:rsidP="004426D3">
            <w:pPr>
              <w:spacing w:after="0" w:line="276" w:lineRule="auto"/>
              <w:ind w:right="-6"/>
              <w:jc w:val="both"/>
              <w:rPr>
                <w:rFonts w:ascii="Arial" w:hAnsi="Arial" w:cs="Arial"/>
                <w:lang w:val="fr-FR"/>
              </w:rPr>
            </w:pPr>
            <w:r w:rsidRPr="004426D3">
              <w:rPr>
                <w:rFonts w:ascii="Arial" w:hAnsi="Arial" w:cs="Arial"/>
                <w:lang w:val="fr-FR"/>
              </w:rPr>
              <w:t>&gt; 25 logements</w:t>
            </w:r>
          </w:p>
        </w:tc>
        <w:tc>
          <w:tcPr>
            <w:tcW w:w="4508" w:type="dxa"/>
            <w:shd w:val="clear" w:color="auto" w:fill="auto"/>
          </w:tcPr>
          <w:p w:rsidR="004426D3" w:rsidRPr="004426D3" w:rsidRDefault="004426D3" w:rsidP="004426D3">
            <w:pPr>
              <w:spacing w:after="0" w:line="276" w:lineRule="auto"/>
              <w:ind w:right="-6"/>
              <w:jc w:val="both"/>
              <w:rPr>
                <w:rFonts w:ascii="Arial" w:hAnsi="Arial" w:cs="Arial"/>
                <w:lang w:val="fr-FR"/>
              </w:rPr>
            </w:pPr>
            <w:r w:rsidRPr="004426D3">
              <w:rPr>
                <w:rFonts w:ascii="Arial" w:hAnsi="Arial" w:cs="Arial"/>
                <w:lang w:val="fr-FR"/>
              </w:rPr>
              <w:t>Au moins 15%</w:t>
            </w:r>
          </w:p>
        </w:tc>
      </w:tr>
      <w:tr w:rsidR="004426D3" w:rsidRPr="004426D3" w:rsidTr="00F60CE2">
        <w:tc>
          <w:tcPr>
            <w:tcW w:w="9016" w:type="dxa"/>
            <w:gridSpan w:val="2"/>
            <w:shd w:val="clear" w:color="auto" w:fill="auto"/>
          </w:tcPr>
          <w:p w:rsidR="004426D3" w:rsidRPr="004426D3" w:rsidRDefault="004426D3" w:rsidP="004426D3">
            <w:pPr>
              <w:spacing w:after="0" w:line="276" w:lineRule="auto"/>
              <w:ind w:right="-6"/>
              <w:jc w:val="both"/>
              <w:rPr>
                <w:rFonts w:ascii="Arial" w:hAnsi="Arial" w:cs="Arial"/>
                <w:i/>
                <w:iCs/>
                <w:lang w:val="fr-FR"/>
              </w:rPr>
            </w:pPr>
            <w:r w:rsidRPr="004426D3">
              <w:rPr>
                <w:rFonts w:ascii="Arial" w:hAnsi="Arial" w:cs="Arial"/>
                <w:i/>
                <w:iCs/>
                <w:lang w:val="fr-FR"/>
              </w:rPr>
              <w:t>en zone non déjà constructible dans le PAG en vigueur</w:t>
            </w:r>
          </w:p>
        </w:tc>
      </w:tr>
      <w:tr w:rsidR="004426D3" w:rsidRPr="004426D3" w:rsidTr="00F60CE2">
        <w:tc>
          <w:tcPr>
            <w:tcW w:w="4508" w:type="dxa"/>
            <w:shd w:val="clear" w:color="auto" w:fill="auto"/>
          </w:tcPr>
          <w:p w:rsidR="004426D3" w:rsidRPr="004426D3" w:rsidRDefault="004426D3" w:rsidP="004426D3">
            <w:pPr>
              <w:spacing w:after="0" w:line="276" w:lineRule="auto"/>
              <w:ind w:right="-6"/>
              <w:jc w:val="both"/>
              <w:rPr>
                <w:rFonts w:ascii="Arial" w:hAnsi="Arial" w:cs="Arial"/>
                <w:lang w:val="fr-FR"/>
              </w:rPr>
            </w:pPr>
            <w:r w:rsidRPr="004426D3">
              <w:rPr>
                <w:rFonts w:ascii="Arial" w:hAnsi="Arial" w:cs="Arial"/>
                <w:lang w:val="fr-FR"/>
              </w:rPr>
              <w:t>5 à 9 logements</w:t>
            </w:r>
          </w:p>
        </w:tc>
        <w:tc>
          <w:tcPr>
            <w:tcW w:w="4508" w:type="dxa"/>
            <w:shd w:val="clear" w:color="auto" w:fill="auto"/>
          </w:tcPr>
          <w:p w:rsidR="004426D3" w:rsidRPr="004426D3" w:rsidRDefault="004426D3" w:rsidP="004426D3">
            <w:pPr>
              <w:spacing w:after="0" w:line="276" w:lineRule="auto"/>
              <w:ind w:right="-6"/>
              <w:jc w:val="both"/>
              <w:rPr>
                <w:rFonts w:ascii="Arial" w:hAnsi="Arial" w:cs="Arial"/>
                <w:lang w:val="fr-FR"/>
              </w:rPr>
            </w:pPr>
            <w:r w:rsidRPr="004426D3">
              <w:rPr>
                <w:rFonts w:ascii="Arial" w:hAnsi="Arial" w:cs="Arial"/>
                <w:lang w:val="fr-FR"/>
              </w:rPr>
              <w:t>Au moins 10%</w:t>
            </w:r>
          </w:p>
        </w:tc>
      </w:tr>
      <w:tr w:rsidR="004426D3" w:rsidRPr="004426D3" w:rsidTr="00F60CE2">
        <w:tc>
          <w:tcPr>
            <w:tcW w:w="4508" w:type="dxa"/>
            <w:shd w:val="clear" w:color="auto" w:fill="auto"/>
          </w:tcPr>
          <w:p w:rsidR="004426D3" w:rsidRPr="004426D3" w:rsidRDefault="004426D3" w:rsidP="004426D3">
            <w:pPr>
              <w:spacing w:after="0" w:line="276" w:lineRule="auto"/>
              <w:ind w:right="-6"/>
              <w:jc w:val="both"/>
              <w:rPr>
                <w:rFonts w:ascii="Arial" w:hAnsi="Arial" w:cs="Arial"/>
                <w:lang w:val="fr-FR"/>
              </w:rPr>
            </w:pPr>
            <w:r w:rsidRPr="004426D3">
              <w:rPr>
                <w:rFonts w:ascii="Arial" w:hAnsi="Arial" w:cs="Arial"/>
                <w:lang w:val="fr-FR"/>
              </w:rPr>
              <w:t>10 à 25 logements</w:t>
            </w:r>
          </w:p>
        </w:tc>
        <w:tc>
          <w:tcPr>
            <w:tcW w:w="4508" w:type="dxa"/>
            <w:shd w:val="clear" w:color="auto" w:fill="auto"/>
          </w:tcPr>
          <w:p w:rsidR="004426D3" w:rsidRPr="004426D3" w:rsidRDefault="004426D3" w:rsidP="004426D3">
            <w:pPr>
              <w:spacing w:after="0" w:line="276" w:lineRule="auto"/>
              <w:ind w:right="-6"/>
              <w:jc w:val="both"/>
              <w:rPr>
                <w:rFonts w:ascii="Arial" w:hAnsi="Arial" w:cs="Arial"/>
                <w:lang w:val="fr-FR"/>
              </w:rPr>
            </w:pPr>
            <w:r w:rsidRPr="004426D3">
              <w:rPr>
                <w:rFonts w:ascii="Arial" w:hAnsi="Arial" w:cs="Arial"/>
                <w:lang w:val="fr-FR"/>
              </w:rPr>
              <w:t>Au moins 15%</w:t>
            </w:r>
          </w:p>
        </w:tc>
      </w:tr>
      <w:tr w:rsidR="004426D3" w:rsidRPr="004426D3" w:rsidTr="00F60CE2">
        <w:tc>
          <w:tcPr>
            <w:tcW w:w="4508" w:type="dxa"/>
            <w:shd w:val="clear" w:color="auto" w:fill="auto"/>
          </w:tcPr>
          <w:p w:rsidR="004426D3" w:rsidRPr="004426D3" w:rsidRDefault="004426D3" w:rsidP="004426D3">
            <w:pPr>
              <w:spacing w:after="0" w:line="276" w:lineRule="auto"/>
              <w:ind w:right="-6"/>
              <w:jc w:val="both"/>
              <w:rPr>
                <w:rFonts w:ascii="Arial" w:hAnsi="Arial" w:cs="Arial"/>
                <w:lang w:val="fr-FR"/>
              </w:rPr>
            </w:pPr>
            <w:r w:rsidRPr="004426D3">
              <w:rPr>
                <w:rFonts w:ascii="Arial" w:hAnsi="Arial" w:cs="Arial"/>
                <w:lang w:val="fr-FR"/>
              </w:rPr>
              <w:t>&gt; 25 logements</w:t>
            </w:r>
          </w:p>
        </w:tc>
        <w:tc>
          <w:tcPr>
            <w:tcW w:w="4508" w:type="dxa"/>
            <w:shd w:val="clear" w:color="auto" w:fill="auto"/>
          </w:tcPr>
          <w:p w:rsidR="004426D3" w:rsidRPr="004426D3" w:rsidRDefault="004426D3" w:rsidP="004426D3">
            <w:pPr>
              <w:spacing w:after="0" w:line="276" w:lineRule="auto"/>
              <w:ind w:right="-6"/>
              <w:jc w:val="both"/>
              <w:rPr>
                <w:rFonts w:ascii="Arial" w:hAnsi="Arial" w:cs="Arial"/>
                <w:lang w:val="fr-FR"/>
              </w:rPr>
            </w:pPr>
            <w:r w:rsidRPr="004426D3">
              <w:rPr>
                <w:rFonts w:ascii="Arial" w:hAnsi="Arial" w:cs="Arial"/>
                <w:lang w:val="fr-FR"/>
              </w:rPr>
              <w:t>Au moins 20%</w:t>
            </w:r>
          </w:p>
        </w:tc>
      </w:tr>
    </w:tbl>
    <w:p w:rsidR="004426D3" w:rsidRPr="004426D3" w:rsidRDefault="004426D3" w:rsidP="004426D3">
      <w:pPr>
        <w:spacing w:after="0" w:line="276" w:lineRule="auto"/>
        <w:ind w:right="-6"/>
        <w:jc w:val="both"/>
        <w:rPr>
          <w:rFonts w:ascii="Arial" w:hAnsi="Arial" w:cs="Arial"/>
          <w:lang w:val="fr-FR"/>
        </w:rPr>
      </w:pPr>
    </w:p>
    <w:p w:rsidR="004426D3" w:rsidRPr="004426D3" w:rsidRDefault="004426D3" w:rsidP="001C63F0">
      <w:pPr>
        <w:spacing w:after="0" w:line="276" w:lineRule="auto"/>
        <w:ind w:right="-6"/>
        <w:jc w:val="both"/>
        <w:rPr>
          <w:rFonts w:ascii="Arial" w:hAnsi="Arial" w:cs="Arial"/>
          <w:lang w:val="fr-FR"/>
        </w:rPr>
      </w:pPr>
      <w:r w:rsidRPr="004426D3">
        <w:rPr>
          <w:rFonts w:ascii="Arial" w:hAnsi="Arial" w:cs="Arial"/>
          <w:lang w:val="fr-FR"/>
        </w:rPr>
        <w:t xml:space="preserve">Cette approche présente le grand avantage d’alléger la charge financière pesant sur la main publique en vue de l’acquisition des fonds réservés aux logements abordables tout en garantissant à l’initiateur d’un plan d’aménagement particulier que ses droits ayant trait à la propriété privée soient sauvegardés à l’occasion de la cession prévue par l’article 29bis. </w:t>
      </w:r>
    </w:p>
    <w:p w:rsidR="004426D3" w:rsidRPr="004426D3" w:rsidRDefault="004426D3" w:rsidP="004426D3">
      <w:pPr>
        <w:autoSpaceDE w:val="0"/>
        <w:autoSpaceDN w:val="0"/>
        <w:adjustRightInd w:val="0"/>
        <w:spacing w:after="0" w:line="276" w:lineRule="auto"/>
        <w:jc w:val="both"/>
        <w:rPr>
          <w:rFonts w:ascii="Arial" w:hAnsi="Arial" w:cs="Arial"/>
          <w:b/>
          <w:bCs/>
          <w:color w:val="000000"/>
          <w:lang w:val="fr-FR"/>
        </w:rPr>
      </w:pPr>
    </w:p>
    <w:p w:rsidR="004426D3" w:rsidRPr="004426D3" w:rsidRDefault="004426D3" w:rsidP="004426D3">
      <w:pPr>
        <w:autoSpaceDE w:val="0"/>
        <w:autoSpaceDN w:val="0"/>
        <w:adjustRightInd w:val="0"/>
        <w:spacing w:after="0" w:line="276" w:lineRule="auto"/>
        <w:jc w:val="both"/>
        <w:rPr>
          <w:rFonts w:ascii="Arial" w:hAnsi="Arial" w:cs="Arial"/>
          <w:b/>
          <w:bCs/>
          <w:color w:val="000000"/>
        </w:rPr>
      </w:pPr>
      <w:r w:rsidRPr="004426D3">
        <w:rPr>
          <w:rFonts w:ascii="Arial" w:hAnsi="Arial" w:cs="Arial"/>
          <w:b/>
          <w:bCs/>
          <w:color w:val="000000"/>
        </w:rPr>
        <w:t>Modification de la loi concernant l’aménagement du territoire</w:t>
      </w:r>
    </w:p>
    <w:p w:rsidR="004426D3" w:rsidRPr="004426D3" w:rsidRDefault="004426D3" w:rsidP="004426D3">
      <w:pPr>
        <w:autoSpaceDE w:val="0"/>
        <w:autoSpaceDN w:val="0"/>
        <w:adjustRightInd w:val="0"/>
        <w:spacing w:after="0" w:line="276" w:lineRule="auto"/>
        <w:jc w:val="both"/>
        <w:rPr>
          <w:rFonts w:ascii="Arial" w:hAnsi="Arial" w:cs="Arial"/>
          <w:color w:val="000000"/>
          <w:lang w:val="fr-FR"/>
        </w:rPr>
      </w:pPr>
    </w:p>
    <w:p w:rsidR="004426D3" w:rsidRPr="004426D3" w:rsidRDefault="004426D3" w:rsidP="004426D3">
      <w:pPr>
        <w:spacing w:after="0" w:line="276" w:lineRule="auto"/>
        <w:ind w:right="-6"/>
        <w:jc w:val="both"/>
        <w:rPr>
          <w:rFonts w:ascii="Arial" w:hAnsi="Arial" w:cs="Arial"/>
          <w:lang w:val="fr-FR"/>
        </w:rPr>
      </w:pPr>
      <w:r w:rsidRPr="004426D3">
        <w:rPr>
          <w:rFonts w:ascii="Arial" w:hAnsi="Arial" w:cs="Arial"/>
          <w:lang w:val="fr-FR"/>
        </w:rPr>
        <w:t>Pour assurer la cohérence de l’introduction d’un article 29</w:t>
      </w:r>
      <w:r w:rsidRPr="004426D3">
        <w:rPr>
          <w:rFonts w:ascii="Arial" w:hAnsi="Arial" w:cs="Arial"/>
          <w:i/>
          <w:iCs/>
          <w:lang w:val="fr-FR"/>
        </w:rPr>
        <w:t>bis</w:t>
      </w:r>
      <w:r w:rsidRPr="004426D3">
        <w:rPr>
          <w:rFonts w:ascii="Arial" w:hAnsi="Arial" w:cs="Arial"/>
          <w:lang w:val="fr-FR"/>
        </w:rPr>
        <w:t xml:space="preserve"> dans la loi précitée sur l’aménagement communal avec le plan directeur sectoriel logement, le projet de loi modifie également ponctuellement la loi du 17 avril 2018 concernant l’aménagement du territoire.</w:t>
      </w:r>
    </w:p>
    <w:p w:rsidR="004426D3" w:rsidRPr="004426D3" w:rsidRDefault="004426D3" w:rsidP="004426D3">
      <w:pPr>
        <w:spacing w:after="0" w:line="276" w:lineRule="auto"/>
        <w:ind w:right="-6"/>
        <w:jc w:val="both"/>
        <w:rPr>
          <w:rFonts w:ascii="Arial" w:hAnsi="Arial" w:cs="Arial"/>
          <w:lang w:val="fr-FR"/>
        </w:rPr>
      </w:pPr>
    </w:p>
    <w:p w:rsidR="004426D3" w:rsidRPr="004426D3" w:rsidRDefault="004426D3" w:rsidP="004426D3">
      <w:pPr>
        <w:spacing w:after="0" w:line="276" w:lineRule="auto"/>
        <w:ind w:right="-6"/>
        <w:jc w:val="both"/>
        <w:rPr>
          <w:rFonts w:ascii="Arial" w:hAnsi="Arial" w:cs="Arial"/>
          <w:lang w:val="fr-FR"/>
        </w:rPr>
      </w:pPr>
      <w:r w:rsidRPr="004426D3">
        <w:rPr>
          <w:rFonts w:ascii="Arial" w:hAnsi="Arial" w:cs="Arial"/>
          <w:lang w:val="fr-FR"/>
        </w:rPr>
        <w:t xml:space="preserve">En ce qui concerne le cas spécifique d’un PAP « nouveau quartier » se situant dans une « zone prioritaire d’habitation », 30% de la surface construite brute destinée au logement sont réservés au logement abordable. En contrepartie, le potentiel constructible réservé au logement au niveau du PAP est augmenté de 10% par rapport au PAG. Pour la part de la cession qui dépasse cette contrepartie, une contrepartie complémentaire est définie entre le cédant et le cessionnaire, par exemple une augmentation supplémentaire du potentiel constructible ou une indemnité financière. </w:t>
      </w:r>
    </w:p>
    <w:p w:rsidR="00DC2D3C" w:rsidRPr="004426D3" w:rsidRDefault="00DC2D3C">
      <w:pPr>
        <w:rPr>
          <w:lang w:val="fr-FR"/>
        </w:rPr>
      </w:pPr>
    </w:p>
    <w:sectPr w:rsidR="00DC2D3C" w:rsidRPr="004426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NewRomanPS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7F113D"/>
    <w:multiLevelType w:val="hybridMultilevel"/>
    <w:tmpl w:val="C9501F4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E1C4998"/>
    <w:multiLevelType w:val="hybridMultilevel"/>
    <w:tmpl w:val="05F85E82"/>
    <w:lvl w:ilvl="0" w:tplc="D9A2B7B6">
      <w:numFmt w:val="bullet"/>
      <w:lvlText w:val="–"/>
      <w:lvlJc w:val="left"/>
      <w:pPr>
        <w:ind w:left="720" w:hanging="360"/>
      </w:pPr>
      <w:rPr>
        <w:rFonts w:ascii="TimesNewRomanPSMT" w:eastAsia="Calibri" w:hAnsi="TimesNewRomanPSMT" w:cs="TimesNewRomanPS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0F59E5"/>
    <w:multiLevelType w:val="hybridMultilevel"/>
    <w:tmpl w:val="F24AB540"/>
    <w:lvl w:ilvl="0" w:tplc="D9A2B7B6">
      <w:numFmt w:val="bullet"/>
      <w:lvlText w:val="–"/>
      <w:lvlJc w:val="left"/>
      <w:pPr>
        <w:ind w:left="720" w:hanging="360"/>
      </w:pPr>
      <w:rPr>
        <w:rFonts w:ascii="TimesNewRomanPSMT" w:eastAsia="Calibri" w:hAnsi="TimesNewRomanPSMT" w:cs="TimesNewRomanPS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26D3"/>
    <w:rsid w:val="001C63F0"/>
    <w:rsid w:val="004426D3"/>
    <w:rsid w:val="004D57C5"/>
    <w:rsid w:val="00670ABE"/>
    <w:rsid w:val="008765CF"/>
    <w:rsid w:val="00AA678C"/>
    <w:rsid w:val="00DC2D3C"/>
    <w:rsid w:val="00F60CE2"/>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9B45882-B0AE-4A21-AF34-FE8DF1DE1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DP7648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7648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/sftpecos/Dossiers_parlementaires/7648/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AB09E9A9-9502-4918-B99E-FA0F3C670B86}"/>
</file>

<file path=customXml/itemProps2.xml><?xml version="1.0" encoding="utf-8"?>
<ds:datastoreItem xmlns:ds="http://schemas.openxmlformats.org/officeDocument/2006/customXml" ds:itemID="{51526261-C723-4A0F-9E56-E0D60C590404}"/>
</file>

<file path=customXml/itemProps3.xml><?xml version="1.0" encoding="utf-8"?>
<ds:datastoreItem xmlns:ds="http://schemas.openxmlformats.org/officeDocument/2006/customXml" ds:itemID="{73DDBA73-B95A-4421-B092-89C9722F9AB8}"/>
</file>

<file path=docProps/app.xml><?xml version="1.0" encoding="utf-8"?>
<Properties xmlns="http://schemas.openxmlformats.org/officeDocument/2006/extended-properties" xmlns:vt="http://schemas.openxmlformats.org/officeDocument/2006/docPropsVTypes">
  <Template>Normal</Template>
  <TotalTime>0</TotalTime>
  <Pages>3</Pages>
  <Words>652</Words>
  <Characters>3591</Characters>
  <Application>Microsoft Office Word</Application>
  <DocSecurity>4</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Francine Cocard</dc:creator>
  <cp:keywords/>
  <dc:description/>
  <cp:lastModifiedBy>SYSTEM</cp:lastModifiedBy>
  <cp:revision>2</cp:revision>
  <dcterms:created xsi:type="dcterms:W3CDTF">2024-02-21T07:58:00Z</dcterms:created>
  <dcterms:modified xsi:type="dcterms:W3CDTF">2024-02-21T07:58:00Z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