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27" w:rsidRPr="006B5127" w:rsidRDefault="006B5127" w:rsidP="006B5127">
      <w:pPr>
        <w:spacing w:after="0" w:line="240" w:lineRule="auto"/>
        <w:jc w:val="center"/>
        <w:rPr>
          <w:rFonts w:ascii="Arial" w:eastAsia="Times New Roman" w:hAnsi="Arial"/>
          <w:b/>
          <w:color w:val="FF0000"/>
          <w:lang w:val="fr-FR" w:eastAsia="fr-FR"/>
        </w:rPr>
      </w:pPr>
      <w:bookmarkStart w:id="0" w:name="_GoBack"/>
      <w:bookmarkEnd w:id="0"/>
      <w:r w:rsidRPr="006B5127">
        <w:rPr>
          <w:rFonts w:ascii="Arial" w:eastAsia="Times New Roman" w:hAnsi="Arial"/>
          <w:b/>
          <w:color w:val="FF0000"/>
          <w:lang w:val="fr-FR" w:eastAsia="fr-FR"/>
        </w:rPr>
        <w:t>PROJET DE LOI</w:t>
      </w:r>
    </w:p>
    <w:p w:rsidR="006B5127" w:rsidRPr="006B5127" w:rsidRDefault="006B5127" w:rsidP="006B5127">
      <w:pPr>
        <w:spacing w:after="0" w:line="240" w:lineRule="auto"/>
        <w:jc w:val="center"/>
        <w:rPr>
          <w:rFonts w:ascii="Arial" w:eastAsia="Times New Roman" w:hAnsi="Arial"/>
          <w:b/>
          <w:bCs/>
          <w:color w:val="FF0000"/>
          <w:sz w:val="16"/>
          <w:szCs w:val="16"/>
          <w:lang w:val="fr-FR" w:eastAsia="fr-FR"/>
        </w:rPr>
      </w:pPr>
    </w:p>
    <w:p w:rsidR="006B5127" w:rsidRPr="006B5127" w:rsidRDefault="006B5127" w:rsidP="006B5127">
      <w:pPr>
        <w:spacing w:after="0" w:line="240" w:lineRule="auto"/>
        <w:jc w:val="center"/>
        <w:rPr>
          <w:rFonts w:ascii="Arial" w:eastAsia="Times New Roman" w:hAnsi="Arial"/>
          <w:color w:val="FF0000"/>
          <w:lang w:val="fr-FR" w:eastAsia="fr-FR"/>
        </w:rPr>
      </w:pPr>
      <w:r w:rsidRPr="006B5127">
        <w:rPr>
          <w:rFonts w:ascii="Arial" w:eastAsia="Times New Roman" w:hAnsi="Arial"/>
          <w:b/>
          <w:color w:val="FF0000"/>
          <w:lang w:val="fr-FR" w:eastAsia="fr-FR"/>
        </w:rPr>
        <w:t>portant approbation</w:t>
      </w:r>
    </w:p>
    <w:p w:rsidR="006B5127" w:rsidRPr="006B5127" w:rsidRDefault="006B5127" w:rsidP="006B5127">
      <w:pPr>
        <w:spacing w:after="0" w:line="240" w:lineRule="auto"/>
        <w:jc w:val="center"/>
        <w:rPr>
          <w:rFonts w:ascii="Arial" w:eastAsia="Times New Roman" w:hAnsi="Arial"/>
          <w:b/>
          <w:bCs/>
          <w:color w:val="FF0000"/>
          <w:sz w:val="16"/>
          <w:szCs w:val="16"/>
          <w:lang w:val="fr-FR" w:eastAsia="fr-FR"/>
        </w:rPr>
      </w:pPr>
    </w:p>
    <w:p w:rsidR="006B5127" w:rsidRPr="006B5127" w:rsidRDefault="006B5127" w:rsidP="006B5127">
      <w:pPr>
        <w:spacing w:after="0" w:line="240" w:lineRule="auto"/>
        <w:ind w:right="-426"/>
        <w:jc w:val="center"/>
        <w:rPr>
          <w:rFonts w:ascii="Arial" w:eastAsia="Times New Roman" w:hAnsi="Arial"/>
          <w:b/>
          <w:bCs/>
          <w:color w:val="FF0000"/>
          <w:lang w:val="fr-FR" w:eastAsia="fr-FR"/>
        </w:rPr>
      </w:pPr>
      <w:r w:rsidRPr="006B5127">
        <w:rPr>
          <w:rFonts w:ascii="Arial" w:eastAsia="Times New Roman" w:hAnsi="Arial"/>
          <w:b/>
          <w:bCs/>
          <w:color w:val="FF0000"/>
          <w:lang w:val="fr-FR" w:eastAsia="fr-FR"/>
        </w:rPr>
        <w:t>de la Convention du Conseil de l'Europe sur la coproduction cinématographique (révisée), ouverte à la signature, à Rotterdam, le 30 janvier 2017</w:t>
      </w:r>
    </w:p>
    <w:p w:rsidR="006B5127" w:rsidRPr="00A66F51" w:rsidRDefault="006B5127" w:rsidP="006B5127">
      <w:pPr>
        <w:spacing w:after="0" w:line="240" w:lineRule="auto"/>
        <w:jc w:val="center"/>
        <w:rPr>
          <w:rFonts w:ascii="Arial" w:eastAsia="Times New Roman" w:hAnsi="Arial"/>
          <w:lang w:eastAsia="fr-FR"/>
        </w:rPr>
      </w:pPr>
    </w:p>
    <w:p w:rsidR="006B5127" w:rsidRDefault="006B5127" w:rsidP="006B7071">
      <w:pPr>
        <w:autoSpaceDE w:val="0"/>
        <w:autoSpaceDN w:val="0"/>
        <w:adjustRightInd w:val="0"/>
        <w:spacing w:after="0" w:line="240" w:lineRule="auto"/>
        <w:rPr>
          <w:rFonts w:ascii="Arial" w:hAnsi="Arial" w:cs="Arial"/>
          <w:lang w:eastAsia="fr-LU"/>
        </w:rPr>
      </w:pPr>
    </w:p>
    <w:p w:rsidR="006B7071" w:rsidRPr="006B5127" w:rsidRDefault="006B7071" w:rsidP="006B7071">
      <w:pPr>
        <w:autoSpaceDE w:val="0"/>
        <w:autoSpaceDN w:val="0"/>
        <w:adjustRightInd w:val="0"/>
        <w:spacing w:after="0" w:line="240" w:lineRule="auto"/>
        <w:jc w:val="center"/>
        <w:rPr>
          <w:rFonts w:ascii="Arial" w:hAnsi="Arial" w:cs="Arial"/>
          <w:color w:val="FF0000"/>
          <w:sz w:val="24"/>
          <w:szCs w:val="24"/>
          <w:lang w:eastAsia="fr-LU"/>
        </w:rPr>
      </w:pPr>
      <w:r w:rsidRPr="006B5127">
        <w:rPr>
          <w:rFonts w:ascii="Arial" w:hAnsi="Arial" w:cs="Arial"/>
          <w:b/>
          <w:bCs/>
          <w:color w:val="FF0000"/>
          <w:sz w:val="24"/>
          <w:szCs w:val="24"/>
          <w:u w:val="single"/>
        </w:rPr>
        <w:t>Synthèse</w:t>
      </w:r>
    </w:p>
    <w:p w:rsidR="006B7071" w:rsidRDefault="006B7071" w:rsidP="006B7071">
      <w:pPr>
        <w:autoSpaceDE w:val="0"/>
        <w:autoSpaceDN w:val="0"/>
        <w:adjustRightInd w:val="0"/>
        <w:spacing w:after="0" w:line="240" w:lineRule="auto"/>
        <w:jc w:val="both"/>
        <w:rPr>
          <w:rFonts w:ascii="Arial" w:hAnsi="Arial" w:cs="Arial"/>
          <w:lang w:eastAsia="fr-LU"/>
        </w:rPr>
      </w:pPr>
    </w:p>
    <w:p w:rsidR="006B5127" w:rsidRPr="00E23834" w:rsidRDefault="006B5127" w:rsidP="006B5127">
      <w:pPr>
        <w:spacing w:after="0" w:line="240" w:lineRule="auto"/>
        <w:jc w:val="both"/>
        <w:rPr>
          <w:rFonts w:ascii="Arial" w:eastAsia="Times New Roman" w:hAnsi="Arial"/>
          <w:lang w:eastAsia="fr-FR"/>
        </w:rPr>
      </w:pPr>
      <w:r w:rsidRPr="00310900">
        <w:rPr>
          <w:rFonts w:ascii="Arial" w:eastAsia="Times New Roman" w:hAnsi="Arial" w:cs="Arial"/>
          <w:lang w:eastAsia="fr-FR"/>
        </w:rPr>
        <w:t xml:space="preserve">Le </w:t>
      </w:r>
      <w:r w:rsidRPr="009039B6">
        <w:rPr>
          <w:rFonts w:ascii="Arial" w:hAnsi="Arial" w:cs="Arial"/>
          <w:b/>
          <w:lang w:val="fr-FR" w:eastAsia="fr-FR"/>
        </w:rPr>
        <w:t>PL 76</w:t>
      </w:r>
      <w:r>
        <w:rPr>
          <w:rFonts w:ascii="Arial" w:hAnsi="Arial" w:cs="Arial"/>
          <w:b/>
          <w:lang w:val="fr-FR" w:eastAsia="fr-FR"/>
        </w:rPr>
        <w:t>30</w:t>
      </w:r>
      <w:r w:rsidRPr="00310900">
        <w:rPr>
          <w:rFonts w:ascii="Arial" w:eastAsia="Times New Roman" w:hAnsi="Arial" w:cs="Arial"/>
          <w:lang w:eastAsia="fr-FR"/>
        </w:rPr>
        <w:t xml:space="preserve"> </w:t>
      </w:r>
      <w:r>
        <w:rPr>
          <w:rFonts w:ascii="Arial" w:eastAsia="Times New Roman" w:hAnsi="Arial" w:cs="Arial"/>
          <w:lang w:eastAsia="fr-FR"/>
        </w:rPr>
        <w:t xml:space="preserve">a pour objet d’approuver </w:t>
      </w:r>
      <w:r w:rsidRPr="00E23834">
        <w:rPr>
          <w:rFonts w:ascii="Arial" w:eastAsia="Times New Roman" w:hAnsi="Arial"/>
          <w:lang w:val="fr-CH" w:eastAsia="fr-FR"/>
        </w:rPr>
        <w:t>la Convention du Conseil de l’Europe sur la coproduction cinématographique (révisée), ouverte à la signature, à Rotterdam, le 30 janvier 2017.</w:t>
      </w:r>
    </w:p>
    <w:p w:rsidR="006B5127" w:rsidRDefault="006B5127" w:rsidP="006B5127">
      <w:pPr>
        <w:spacing w:after="0" w:line="240" w:lineRule="auto"/>
        <w:jc w:val="both"/>
        <w:rPr>
          <w:rFonts w:ascii="Arial" w:eastAsia="Times New Roman" w:hAnsi="Arial"/>
          <w:lang w:val="fr-CH" w:eastAsia="fr-FR"/>
        </w:rPr>
      </w:pPr>
    </w:p>
    <w:p w:rsidR="006B5127" w:rsidRPr="00E23834" w:rsidRDefault="006B5127" w:rsidP="006B5127">
      <w:pPr>
        <w:spacing w:after="0" w:line="240" w:lineRule="auto"/>
        <w:jc w:val="both"/>
        <w:rPr>
          <w:rFonts w:ascii="Arial" w:eastAsia="Times New Roman" w:hAnsi="Arial"/>
          <w:lang w:val="fr-CH" w:eastAsia="fr-FR"/>
        </w:rPr>
      </w:pPr>
      <w:r w:rsidRPr="00E23834">
        <w:rPr>
          <w:rFonts w:ascii="Arial" w:eastAsia="Times New Roman" w:hAnsi="Arial"/>
          <w:lang w:val="fr-CH" w:eastAsia="fr-FR"/>
        </w:rPr>
        <w:t>La Convention révisée actualise les dispositions de la Convention culturelle sur la coproduction cinématographique de 1992 afin de refléter l’évolution technologique, économique et financière de l’industrie audiovisuelle.</w:t>
      </w:r>
    </w:p>
    <w:p w:rsidR="006B5127" w:rsidRPr="00E23834" w:rsidRDefault="006B5127" w:rsidP="006B5127">
      <w:pPr>
        <w:spacing w:after="0" w:line="240" w:lineRule="auto"/>
        <w:rPr>
          <w:rFonts w:ascii="Arial" w:eastAsia="Times New Roman" w:hAnsi="Arial"/>
          <w:lang w:eastAsia="fr-FR"/>
        </w:rPr>
      </w:pPr>
    </w:p>
    <w:p w:rsidR="006B5127" w:rsidRPr="006B5127" w:rsidRDefault="006B5127" w:rsidP="006B5127">
      <w:pPr>
        <w:jc w:val="both"/>
        <w:rPr>
          <w:rFonts w:ascii="Arial" w:hAnsi="Arial" w:cs="Arial"/>
          <w:b/>
          <w:lang w:val="fr-CH" w:eastAsia="fr-FR"/>
        </w:rPr>
      </w:pPr>
      <w:r w:rsidRPr="006B5127">
        <w:rPr>
          <w:rFonts w:ascii="Arial" w:hAnsi="Arial" w:cs="Arial"/>
          <w:b/>
          <w:lang w:val="fr-CH" w:eastAsia="fr-FR"/>
        </w:rPr>
        <w:t>Considérations générales</w:t>
      </w:r>
    </w:p>
    <w:p w:rsidR="006B5127" w:rsidRPr="00E23834" w:rsidRDefault="006B5127" w:rsidP="006B5127">
      <w:pPr>
        <w:autoSpaceDE w:val="0"/>
        <w:autoSpaceDN w:val="0"/>
        <w:adjustRightInd w:val="0"/>
        <w:spacing w:after="0" w:line="240" w:lineRule="auto"/>
        <w:jc w:val="both"/>
        <w:rPr>
          <w:rFonts w:ascii="Arial" w:hAnsi="Arial" w:cs="Arial"/>
          <w:lang w:eastAsia="fr-LU"/>
        </w:rPr>
      </w:pPr>
      <w:r w:rsidRPr="00E23834">
        <w:rPr>
          <w:rFonts w:ascii="Arial" w:hAnsi="Arial" w:cs="Arial"/>
          <w:lang w:eastAsia="fr-LU"/>
        </w:rPr>
        <w:t>La Convention révisée a comme objectif de fournir un cadre juridique et financier actualisé pour la coproduction de longs métrages impliquant des sociétés de production établies dans différents pays.</w:t>
      </w:r>
    </w:p>
    <w:p w:rsidR="006B5127" w:rsidRPr="00E23834" w:rsidRDefault="006B5127" w:rsidP="006B5127">
      <w:pPr>
        <w:autoSpaceDE w:val="0"/>
        <w:autoSpaceDN w:val="0"/>
        <w:adjustRightInd w:val="0"/>
        <w:spacing w:after="0" w:line="240" w:lineRule="auto"/>
        <w:jc w:val="both"/>
        <w:rPr>
          <w:rFonts w:ascii="Arial" w:hAnsi="Arial" w:cs="Arial"/>
          <w:lang w:eastAsia="fr-LU"/>
        </w:rPr>
      </w:pPr>
    </w:p>
    <w:p w:rsidR="006B5127" w:rsidRDefault="006B5127" w:rsidP="006B5127">
      <w:pPr>
        <w:autoSpaceDE w:val="0"/>
        <w:autoSpaceDN w:val="0"/>
        <w:adjustRightInd w:val="0"/>
        <w:spacing w:after="0" w:line="240" w:lineRule="auto"/>
        <w:jc w:val="both"/>
        <w:rPr>
          <w:rFonts w:ascii="Arial" w:hAnsi="Arial" w:cs="Arial"/>
          <w:lang w:eastAsia="fr-LU"/>
        </w:rPr>
      </w:pPr>
      <w:r w:rsidRPr="00E23834">
        <w:rPr>
          <w:rFonts w:ascii="Arial" w:hAnsi="Arial" w:cs="Arial"/>
          <w:lang w:eastAsia="fr-LU"/>
        </w:rPr>
        <w:t>La nouvelle législation compte trois innovations principales</w:t>
      </w:r>
      <w:r>
        <w:rPr>
          <w:rFonts w:ascii="Arial" w:hAnsi="Arial" w:cs="Arial"/>
          <w:lang w:eastAsia="fr-LU"/>
        </w:rPr>
        <w:t> :</w:t>
      </w:r>
    </w:p>
    <w:p w:rsidR="006B5127" w:rsidRPr="00E23834" w:rsidRDefault="006B5127" w:rsidP="006B5127">
      <w:pPr>
        <w:autoSpaceDE w:val="0"/>
        <w:autoSpaceDN w:val="0"/>
        <w:adjustRightInd w:val="0"/>
        <w:spacing w:after="0" w:line="240" w:lineRule="auto"/>
        <w:jc w:val="both"/>
        <w:rPr>
          <w:rFonts w:ascii="Arial" w:hAnsi="Arial" w:cs="Arial"/>
          <w:sz w:val="16"/>
          <w:szCs w:val="16"/>
          <w:lang w:eastAsia="fr-LU"/>
        </w:rPr>
      </w:pPr>
    </w:p>
    <w:p w:rsidR="006B5127" w:rsidRDefault="006B5127" w:rsidP="006B5127">
      <w:pPr>
        <w:autoSpaceDE w:val="0"/>
        <w:autoSpaceDN w:val="0"/>
        <w:adjustRightInd w:val="0"/>
        <w:spacing w:after="0" w:line="240" w:lineRule="auto"/>
        <w:ind w:left="426" w:hanging="142"/>
        <w:jc w:val="both"/>
        <w:rPr>
          <w:rFonts w:ascii="Arial" w:hAnsi="Arial" w:cs="Arial"/>
          <w:lang w:eastAsia="fr-LU"/>
        </w:rPr>
      </w:pPr>
      <w:r>
        <w:rPr>
          <w:rFonts w:ascii="Arial" w:hAnsi="Arial" w:cs="Arial"/>
          <w:lang w:eastAsia="fr-LU"/>
        </w:rPr>
        <w:t>- e</w:t>
      </w:r>
      <w:r w:rsidRPr="00E23834">
        <w:rPr>
          <w:rFonts w:ascii="Arial" w:hAnsi="Arial" w:cs="Arial"/>
          <w:lang w:eastAsia="fr-LU"/>
        </w:rPr>
        <w:t>n premier lieu, le champ d’application de la convention est élargi à des pays non-membres du Conseil de l’Europe afin de promouvoir la collaboration transfrontalière des sociétés de production cinématographique. Dans ce cadre, le législateur européen introduit la notion de « coproduction internationale officielle »</w:t>
      </w:r>
      <w:r>
        <w:rPr>
          <w:rFonts w:ascii="Arial" w:hAnsi="Arial" w:cs="Arial"/>
          <w:lang w:eastAsia="fr-LU"/>
        </w:rPr>
        <w:t> ;</w:t>
      </w:r>
    </w:p>
    <w:p w:rsidR="006B5127" w:rsidRPr="00E23834" w:rsidRDefault="006B5127" w:rsidP="006B5127">
      <w:pPr>
        <w:autoSpaceDE w:val="0"/>
        <w:autoSpaceDN w:val="0"/>
        <w:adjustRightInd w:val="0"/>
        <w:spacing w:after="0" w:line="240" w:lineRule="auto"/>
        <w:jc w:val="both"/>
        <w:rPr>
          <w:rFonts w:ascii="Arial" w:hAnsi="Arial" w:cs="Arial"/>
          <w:sz w:val="16"/>
          <w:szCs w:val="16"/>
          <w:lang w:eastAsia="fr-LU"/>
        </w:rPr>
      </w:pPr>
    </w:p>
    <w:p w:rsidR="006B5127" w:rsidRPr="00D456F5" w:rsidRDefault="006B5127" w:rsidP="006B5127">
      <w:pPr>
        <w:autoSpaceDE w:val="0"/>
        <w:autoSpaceDN w:val="0"/>
        <w:adjustRightInd w:val="0"/>
        <w:spacing w:after="0" w:line="240" w:lineRule="auto"/>
        <w:ind w:left="426" w:hanging="142"/>
        <w:jc w:val="both"/>
        <w:rPr>
          <w:rFonts w:ascii="Arial" w:hAnsi="Arial" w:cs="Arial"/>
          <w:lang w:eastAsia="fr-LU"/>
        </w:rPr>
      </w:pPr>
      <w:r>
        <w:rPr>
          <w:rFonts w:ascii="Arial" w:hAnsi="Arial" w:cs="Arial"/>
          <w:lang w:eastAsia="fr-LU"/>
        </w:rPr>
        <w:t>- e</w:t>
      </w:r>
      <w:r w:rsidRPr="00D456F5">
        <w:rPr>
          <w:rFonts w:ascii="Arial" w:hAnsi="Arial" w:cs="Arial"/>
          <w:lang w:eastAsia="fr-LU"/>
        </w:rPr>
        <w:t>nsuite, la Convention révisée assouplie les procédures d’obtention de la nationalité d’un film pour les pays impliqués dans la coproduction.</w:t>
      </w:r>
    </w:p>
    <w:p w:rsidR="006B5127" w:rsidRPr="00E23834" w:rsidRDefault="006B5127" w:rsidP="006B5127">
      <w:pPr>
        <w:autoSpaceDE w:val="0"/>
        <w:autoSpaceDN w:val="0"/>
        <w:adjustRightInd w:val="0"/>
        <w:spacing w:after="0" w:line="240" w:lineRule="auto"/>
        <w:ind w:left="426"/>
        <w:jc w:val="both"/>
        <w:rPr>
          <w:rFonts w:ascii="Arial" w:hAnsi="Arial" w:cs="Arial"/>
          <w:lang w:eastAsia="fr-LU"/>
        </w:rPr>
      </w:pPr>
      <w:r w:rsidRPr="00D456F5">
        <w:rPr>
          <w:rFonts w:ascii="Arial" w:hAnsi="Arial" w:cs="Arial"/>
          <w:lang w:eastAsia="fr-LU"/>
        </w:rPr>
        <w:t>Tandis que l’ancienne législation fixait la participation financière minimale de chaque coproducteur lors d’une coproduction bilatérale ne disposant pas d’accord spécifique à 20% du coût total de production, la Convention révisée réduit ce pourcentage à 10%. Lors d’une coproduction multilatérale, les apports respectifs au coût total de la production seront compris entre 5% pour la participation la plus faible et 80% pour la plus forte, le seuil minimal était auparavant de 10%.</w:t>
      </w:r>
    </w:p>
    <w:p w:rsidR="006B5127" w:rsidRPr="00E23834" w:rsidRDefault="006B5127" w:rsidP="006B5127">
      <w:pPr>
        <w:autoSpaceDE w:val="0"/>
        <w:autoSpaceDN w:val="0"/>
        <w:adjustRightInd w:val="0"/>
        <w:spacing w:after="0" w:line="240" w:lineRule="auto"/>
        <w:jc w:val="both"/>
        <w:rPr>
          <w:rFonts w:ascii="Arial" w:hAnsi="Arial" w:cs="Arial"/>
          <w:sz w:val="16"/>
          <w:szCs w:val="16"/>
          <w:lang w:eastAsia="fr-LU"/>
        </w:rPr>
      </w:pPr>
    </w:p>
    <w:p w:rsidR="006B5127" w:rsidRPr="00E23834" w:rsidRDefault="006B5127" w:rsidP="006B5127">
      <w:pPr>
        <w:autoSpaceDE w:val="0"/>
        <w:autoSpaceDN w:val="0"/>
        <w:adjustRightInd w:val="0"/>
        <w:spacing w:after="0" w:line="240" w:lineRule="auto"/>
        <w:ind w:left="426" w:hanging="142"/>
        <w:jc w:val="both"/>
        <w:rPr>
          <w:rFonts w:ascii="Arial" w:hAnsi="Arial" w:cs="Arial"/>
          <w:lang w:eastAsia="fr-LU"/>
        </w:rPr>
      </w:pPr>
      <w:r>
        <w:rPr>
          <w:rFonts w:ascii="Arial" w:hAnsi="Arial" w:cs="Arial"/>
          <w:lang w:eastAsia="fr-LU"/>
        </w:rPr>
        <w:t xml:space="preserve">- finalement, </w:t>
      </w:r>
      <w:r w:rsidRPr="00E23834">
        <w:rPr>
          <w:rFonts w:ascii="Arial" w:hAnsi="Arial" w:cs="Arial"/>
          <w:lang w:eastAsia="fr-LU"/>
        </w:rPr>
        <w:t xml:space="preserve">le Comité de direction du Fonds européen de soutien à la coproduction et à la diffusion des </w:t>
      </w:r>
      <w:proofErr w:type="spellStart"/>
      <w:r w:rsidRPr="00E23834">
        <w:rPr>
          <w:rFonts w:ascii="Arial" w:hAnsi="Arial" w:cs="Arial"/>
          <w:lang w:eastAsia="fr-LU"/>
        </w:rPr>
        <w:t>oeuvres</w:t>
      </w:r>
      <w:proofErr w:type="spellEnd"/>
      <w:r w:rsidRPr="00E23834">
        <w:rPr>
          <w:rFonts w:ascii="Arial" w:hAnsi="Arial" w:cs="Arial"/>
          <w:lang w:eastAsia="fr-LU"/>
        </w:rPr>
        <w:t xml:space="preserve"> de création cinématographiques et audiovisuelles (</w:t>
      </w:r>
      <w:r>
        <w:rPr>
          <w:rFonts w:ascii="Arial" w:hAnsi="Arial" w:cs="Arial"/>
          <w:lang w:eastAsia="fr-LU"/>
        </w:rPr>
        <w:t>« </w:t>
      </w:r>
      <w:proofErr w:type="spellStart"/>
      <w:r w:rsidRPr="00E23834">
        <w:rPr>
          <w:rFonts w:ascii="Arial" w:hAnsi="Arial" w:cs="Arial"/>
          <w:lang w:eastAsia="fr-LU"/>
        </w:rPr>
        <w:t>Eurimages</w:t>
      </w:r>
      <w:proofErr w:type="spellEnd"/>
      <w:r>
        <w:rPr>
          <w:rFonts w:ascii="Arial" w:hAnsi="Arial" w:cs="Arial"/>
          <w:lang w:eastAsia="fr-LU"/>
        </w:rPr>
        <w:t> »</w:t>
      </w:r>
      <w:r w:rsidRPr="00E23834">
        <w:rPr>
          <w:rFonts w:ascii="Arial" w:hAnsi="Arial" w:cs="Arial"/>
          <w:lang w:eastAsia="fr-LU"/>
        </w:rPr>
        <w:t>) est désormais responsable pour le partage et la surveillance des meilleures pratiques dans l’application de la Convention révisée.</w:t>
      </w:r>
    </w:p>
    <w:p w:rsidR="006B5127" w:rsidRPr="00E23834" w:rsidRDefault="006B5127" w:rsidP="006B5127">
      <w:pPr>
        <w:autoSpaceDE w:val="0"/>
        <w:autoSpaceDN w:val="0"/>
        <w:adjustRightInd w:val="0"/>
        <w:spacing w:after="0" w:line="240" w:lineRule="auto"/>
        <w:jc w:val="both"/>
        <w:rPr>
          <w:rFonts w:ascii="Arial" w:hAnsi="Arial" w:cs="Arial"/>
          <w:lang w:eastAsia="fr-LU"/>
        </w:rPr>
      </w:pPr>
    </w:p>
    <w:p w:rsidR="006B5127" w:rsidRPr="00E23834" w:rsidRDefault="006B5127" w:rsidP="006B5127">
      <w:pPr>
        <w:autoSpaceDE w:val="0"/>
        <w:autoSpaceDN w:val="0"/>
        <w:adjustRightInd w:val="0"/>
        <w:spacing w:after="0" w:line="240" w:lineRule="auto"/>
        <w:jc w:val="both"/>
        <w:rPr>
          <w:rFonts w:ascii="Arial" w:hAnsi="Arial" w:cs="Arial"/>
          <w:lang w:eastAsia="fr-LU"/>
        </w:rPr>
      </w:pPr>
      <w:r w:rsidRPr="00E23834">
        <w:rPr>
          <w:rFonts w:ascii="Arial" w:hAnsi="Arial" w:cs="Arial"/>
          <w:lang w:eastAsia="fr-LU"/>
        </w:rPr>
        <w:t>La Convention révisée a été signée par 30 États membres du Conseil de l’Europe, dont le Luxembourg, l’Arménie, l’Autriche, la Belgique, la Bulgarie, la Croatie, Chypre, la République tchèque, le Danemark, la Géorgie, la Grèce, la Hongrie, l’Irlande, l’Italie, la Lettonie, la Lituanie, Malte, le Monténégro, les Pays-Bas, la Macédoine du Nord, la Norvège, la Pologne, le Portugal, la Serbie, la République slovaque, la République slovène, l’Espagne, la Suède, la Suisse et le Royaume-Uni.</w:t>
      </w:r>
    </w:p>
    <w:p w:rsidR="006B5127" w:rsidRPr="00E23834" w:rsidRDefault="006B5127" w:rsidP="006B5127">
      <w:pPr>
        <w:autoSpaceDE w:val="0"/>
        <w:autoSpaceDN w:val="0"/>
        <w:adjustRightInd w:val="0"/>
        <w:spacing w:after="0" w:line="240" w:lineRule="auto"/>
        <w:jc w:val="both"/>
        <w:rPr>
          <w:rFonts w:ascii="Arial" w:hAnsi="Arial" w:cs="Arial"/>
          <w:lang w:eastAsia="fr-LU"/>
        </w:rPr>
      </w:pPr>
    </w:p>
    <w:p w:rsidR="006B5127" w:rsidRPr="00E23834" w:rsidRDefault="006B5127" w:rsidP="006B5127">
      <w:pPr>
        <w:autoSpaceDE w:val="0"/>
        <w:autoSpaceDN w:val="0"/>
        <w:adjustRightInd w:val="0"/>
        <w:spacing w:after="0" w:line="240" w:lineRule="auto"/>
        <w:jc w:val="both"/>
        <w:rPr>
          <w:rFonts w:ascii="Arial" w:hAnsi="Arial" w:cs="Arial"/>
          <w:lang w:eastAsia="fr-LU"/>
        </w:rPr>
      </w:pPr>
      <w:r w:rsidRPr="00E23834">
        <w:rPr>
          <w:rFonts w:ascii="Arial" w:hAnsi="Arial" w:cs="Arial"/>
          <w:lang w:eastAsia="fr-LU"/>
        </w:rPr>
        <w:t xml:space="preserve">Jusqu’à présent, elle est entrée en vigueur dans 18 pays signataires. </w:t>
      </w:r>
    </w:p>
    <w:sectPr w:rsidR="006B5127" w:rsidRPr="00E2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71"/>
    <w:rsid w:val="000323D1"/>
    <w:rsid w:val="005C07A3"/>
    <w:rsid w:val="005F5B06"/>
    <w:rsid w:val="006B5127"/>
    <w:rsid w:val="006B7071"/>
    <w:rsid w:val="0092283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FEBD74-6EE1-4597-97EA-0387DC1C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922832"/>
    <w:pPr>
      <w:autoSpaceDE w:val="0"/>
      <w:autoSpaceDN w:val="0"/>
      <w:adjustRightInd w:val="0"/>
      <w:spacing w:after="0" w:line="201" w:lineRule="atLeast"/>
    </w:pPr>
    <w:rPr>
      <w:rFonts w:ascii="Times New Roman" w:hAnsi="Times New Roman"/>
      <w:sz w:val="24"/>
      <w:szCs w:val="24"/>
      <w:lang w:eastAsia="fr-LU"/>
    </w:rPr>
  </w:style>
  <w:style w:type="paragraph" w:styleId="Sansinterligne">
    <w:name w:val="No Spacing"/>
    <w:uiPriority w:val="1"/>
    <w:qFormat/>
    <w:rsid w:val="00922832"/>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6229">
      <w:bodyDiv w:val="1"/>
      <w:marLeft w:val="0"/>
      <w:marRight w:val="0"/>
      <w:marTop w:val="0"/>
      <w:marBottom w:val="0"/>
      <w:divBdr>
        <w:top w:val="none" w:sz="0" w:space="0" w:color="auto"/>
        <w:left w:val="none" w:sz="0" w:space="0" w:color="auto"/>
        <w:bottom w:val="none" w:sz="0" w:space="0" w:color="auto"/>
        <w:right w:val="none" w:sz="0" w:space="0" w:color="auto"/>
      </w:divBdr>
    </w:div>
    <w:div w:id="74323627">
      <w:bodyDiv w:val="1"/>
      <w:marLeft w:val="0"/>
      <w:marRight w:val="0"/>
      <w:marTop w:val="0"/>
      <w:marBottom w:val="0"/>
      <w:divBdr>
        <w:top w:val="none" w:sz="0" w:space="0" w:color="auto"/>
        <w:left w:val="none" w:sz="0" w:space="0" w:color="auto"/>
        <w:bottom w:val="none" w:sz="0" w:space="0" w:color="auto"/>
        <w:right w:val="none" w:sz="0" w:space="0" w:color="auto"/>
      </w:divBdr>
    </w:div>
    <w:div w:id="437868868">
      <w:bodyDiv w:val="1"/>
      <w:marLeft w:val="0"/>
      <w:marRight w:val="0"/>
      <w:marTop w:val="0"/>
      <w:marBottom w:val="0"/>
      <w:divBdr>
        <w:top w:val="none" w:sz="0" w:space="0" w:color="auto"/>
        <w:left w:val="none" w:sz="0" w:space="0" w:color="auto"/>
        <w:bottom w:val="none" w:sz="0" w:space="0" w:color="auto"/>
        <w:right w:val="none" w:sz="0" w:space="0" w:color="auto"/>
      </w:divBdr>
    </w:div>
    <w:div w:id="600574870">
      <w:bodyDiv w:val="1"/>
      <w:marLeft w:val="0"/>
      <w:marRight w:val="0"/>
      <w:marTop w:val="0"/>
      <w:marBottom w:val="0"/>
      <w:divBdr>
        <w:top w:val="none" w:sz="0" w:space="0" w:color="auto"/>
        <w:left w:val="none" w:sz="0" w:space="0" w:color="auto"/>
        <w:bottom w:val="none" w:sz="0" w:space="0" w:color="auto"/>
        <w:right w:val="none" w:sz="0" w:space="0" w:color="auto"/>
      </w:divBdr>
    </w:div>
    <w:div w:id="634484649">
      <w:bodyDiv w:val="1"/>
      <w:marLeft w:val="0"/>
      <w:marRight w:val="0"/>
      <w:marTop w:val="0"/>
      <w:marBottom w:val="0"/>
      <w:divBdr>
        <w:top w:val="none" w:sz="0" w:space="0" w:color="auto"/>
        <w:left w:val="none" w:sz="0" w:space="0" w:color="auto"/>
        <w:bottom w:val="none" w:sz="0" w:space="0" w:color="auto"/>
        <w:right w:val="none" w:sz="0" w:space="0" w:color="auto"/>
      </w:divBdr>
    </w:div>
    <w:div w:id="714038839">
      <w:bodyDiv w:val="1"/>
      <w:marLeft w:val="0"/>
      <w:marRight w:val="0"/>
      <w:marTop w:val="0"/>
      <w:marBottom w:val="0"/>
      <w:divBdr>
        <w:top w:val="none" w:sz="0" w:space="0" w:color="auto"/>
        <w:left w:val="none" w:sz="0" w:space="0" w:color="auto"/>
        <w:bottom w:val="none" w:sz="0" w:space="0" w:color="auto"/>
        <w:right w:val="none" w:sz="0" w:space="0" w:color="auto"/>
      </w:divBdr>
    </w:div>
    <w:div w:id="12646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07858B-4FA1-4B6F-A093-BB3AA9BCD310}"/>
</file>

<file path=customXml/itemProps2.xml><?xml version="1.0" encoding="utf-8"?>
<ds:datastoreItem xmlns:ds="http://schemas.openxmlformats.org/officeDocument/2006/customXml" ds:itemID="{A3B868B9-034F-4851-A89A-63AEA881EB83}"/>
</file>

<file path=customXml/itemProps3.xml><?xml version="1.0" encoding="utf-8"?>
<ds:datastoreItem xmlns:ds="http://schemas.openxmlformats.org/officeDocument/2006/customXml" ds:itemID="{F7E10ACF-6F94-4372-8EEE-F5964441ADD1}"/>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