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72" w:rsidRDefault="004F31C2" w:rsidP="00F66672">
      <w:pPr>
        <w:jc w:val="both"/>
        <w:rPr>
          <w:rFonts w:ascii="Arial" w:hAnsi="Arial" w:cs="Arial"/>
          <w:color w:val="1B1C20"/>
          <w:lang w:val="fr-CH"/>
        </w:rPr>
      </w:pPr>
      <w:bookmarkStart w:id="0" w:name="_GoBack"/>
      <w:bookmarkEnd w:id="0"/>
      <w:r w:rsidRPr="004F31C2">
        <w:rPr>
          <w:rFonts w:ascii="Arial" w:hAnsi="Arial" w:cs="Arial"/>
        </w:rPr>
        <w:t xml:space="preserve">La loi en projet </w:t>
      </w:r>
      <w:r w:rsidR="00F66672" w:rsidRPr="008B40A2">
        <w:rPr>
          <w:rFonts w:ascii="Arial" w:hAnsi="Arial" w:cs="Arial"/>
          <w:color w:val="1B1C20"/>
          <w:lang w:val="fr-CH"/>
        </w:rPr>
        <w:t>autorise l’</w:t>
      </w:r>
      <w:r w:rsidR="00F66672">
        <w:rPr>
          <w:rFonts w:ascii="Arial" w:hAnsi="Arial" w:cs="Arial"/>
          <w:color w:val="1B1C20"/>
          <w:lang w:val="fr-CH"/>
        </w:rPr>
        <w:t>É</w:t>
      </w:r>
      <w:r w:rsidR="00F66672" w:rsidRPr="008B40A2">
        <w:rPr>
          <w:rFonts w:ascii="Arial" w:hAnsi="Arial" w:cs="Arial"/>
          <w:color w:val="1B1C20"/>
          <w:lang w:val="fr-CH"/>
        </w:rPr>
        <w:t>tat à participer au financement du nouveau projet d</w:t>
      </w:r>
      <w:r w:rsidR="00F66672">
        <w:rPr>
          <w:rFonts w:ascii="Arial" w:hAnsi="Arial" w:cs="Arial"/>
          <w:color w:val="1B1C20"/>
          <w:lang w:val="fr-CH"/>
        </w:rPr>
        <w:t>e</w:t>
      </w:r>
      <w:r w:rsidR="00F66672" w:rsidRPr="008B40A2">
        <w:rPr>
          <w:rFonts w:ascii="Arial" w:hAnsi="Arial" w:cs="Arial"/>
          <w:color w:val="1B1C20"/>
          <w:lang w:val="fr-CH"/>
        </w:rPr>
        <w:t xml:space="preserve"> </w:t>
      </w:r>
      <w:r w:rsidR="00F66672">
        <w:rPr>
          <w:rFonts w:ascii="Arial" w:hAnsi="Arial" w:cs="Arial"/>
          <w:color w:val="1B1C20"/>
          <w:lang w:val="fr-CH"/>
        </w:rPr>
        <w:t>« </w:t>
      </w:r>
      <w:r w:rsidR="00F66672" w:rsidRPr="008B40A2">
        <w:rPr>
          <w:rFonts w:ascii="Arial" w:hAnsi="Arial" w:cs="Arial"/>
          <w:i/>
          <w:iCs/>
          <w:color w:val="1B1C20"/>
          <w:lang w:val="fr-CH"/>
        </w:rPr>
        <w:t>Large Scale Testing</w:t>
      </w:r>
      <w:r w:rsidR="00F66672">
        <w:rPr>
          <w:rFonts w:ascii="Arial" w:hAnsi="Arial" w:cs="Arial"/>
          <w:color w:val="1B1C20"/>
          <w:lang w:val="fr-CH"/>
        </w:rPr>
        <w:t> »</w:t>
      </w:r>
      <w:r w:rsidR="00F66672" w:rsidRPr="008B40A2">
        <w:rPr>
          <w:rFonts w:ascii="Arial" w:hAnsi="Arial" w:cs="Arial"/>
          <w:color w:val="1B1C20"/>
          <w:lang w:val="fr-CH"/>
        </w:rPr>
        <w:t xml:space="preserve"> qui vise à assurer la suite du projet initial, prenant fin à la date du 27 juillet 2020. Par cette mesure</w:t>
      </w:r>
      <w:r w:rsidR="00F66672">
        <w:rPr>
          <w:rFonts w:ascii="Arial" w:hAnsi="Arial" w:cs="Arial"/>
          <w:color w:val="1B1C20"/>
          <w:lang w:val="fr-CH"/>
        </w:rPr>
        <w:t>,</w:t>
      </w:r>
      <w:r w:rsidR="00F66672" w:rsidRPr="008B40A2">
        <w:rPr>
          <w:rFonts w:ascii="Arial" w:hAnsi="Arial" w:cs="Arial"/>
          <w:color w:val="1B1C20"/>
          <w:lang w:val="fr-CH"/>
        </w:rPr>
        <w:t xml:space="preserve"> le Luxembourg envisage à réserver une suite favorable aux lignes directrices </w:t>
      </w:r>
      <w:r w:rsidR="00F66672">
        <w:rPr>
          <w:rFonts w:ascii="Arial" w:hAnsi="Arial" w:cs="Arial"/>
          <w:color w:val="1B1C20"/>
          <w:lang w:val="fr-CH"/>
        </w:rPr>
        <w:t xml:space="preserve">émises par le </w:t>
      </w:r>
      <w:r w:rsidR="00F66672" w:rsidRPr="0023726B">
        <w:rPr>
          <w:rFonts w:ascii="Arial" w:eastAsia="SimSun" w:hAnsi="Arial" w:cs="Arial"/>
          <w:lang w:eastAsia="zh-CN"/>
        </w:rPr>
        <w:t xml:space="preserve">Centre européen de prévention et de contrôle des </w:t>
      </w:r>
      <w:r w:rsidR="00F66672" w:rsidRPr="00C745C3">
        <w:rPr>
          <w:rFonts w:ascii="Arial" w:eastAsia="SimSun" w:hAnsi="Arial" w:cs="Arial"/>
          <w:lang w:eastAsia="zh-CN"/>
        </w:rPr>
        <w:t xml:space="preserve">maladies </w:t>
      </w:r>
      <w:r w:rsidR="00F66672">
        <w:rPr>
          <w:rFonts w:ascii="Arial" w:eastAsia="SimSun" w:hAnsi="Arial" w:cs="Arial"/>
          <w:lang w:eastAsia="zh-CN"/>
        </w:rPr>
        <w:t xml:space="preserve">et </w:t>
      </w:r>
      <w:r w:rsidR="00F66672" w:rsidRPr="008B40A2">
        <w:rPr>
          <w:rFonts w:ascii="Arial" w:hAnsi="Arial" w:cs="Arial"/>
          <w:color w:val="1B1C20"/>
          <w:lang w:val="fr-CH"/>
        </w:rPr>
        <w:t xml:space="preserve">qui préconisent une </w:t>
      </w:r>
      <w:r w:rsidR="00F66672">
        <w:rPr>
          <w:rFonts w:ascii="Arial" w:hAnsi="Arial" w:cs="Arial"/>
          <w:color w:val="1B1C20"/>
          <w:lang w:val="fr-CH"/>
        </w:rPr>
        <w:t>« </w:t>
      </w:r>
      <w:r w:rsidR="00F66672" w:rsidRPr="008B40A2">
        <w:rPr>
          <w:rFonts w:ascii="Arial" w:hAnsi="Arial" w:cs="Arial"/>
          <w:i/>
          <w:iCs/>
          <w:color w:val="1B1C20"/>
          <w:lang w:val="fr-CH"/>
        </w:rPr>
        <w:t>capacité étendue de tests dans l’intérêt d’une bonne surveillance épidémiologique, détection précoce, isolation des cas positifs, traçage des contacts, évaluation de l’immunité collective et reprise de l’activité</w:t>
      </w:r>
      <w:r w:rsidR="00F66672">
        <w:rPr>
          <w:rFonts w:ascii="Arial" w:hAnsi="Arial" w:cs="Arial"/>
          <w:color w:val="1B1C20"/>
          <w:lang w:val="fr-CH"/>
        </w:rPr>
        <w:t> »</w:t>
      </w:r>
      <w:r w:rsidR="00F66672" w:rsidRPr="008B40A2">
        <w:rPr>
          <w:rFonts w:ascii="Arial" w:hAnsi="Arial" w:cs="Arial"/>
          <w:color w:val="1B1C20"/>
          <w:lang w:val="fr-CH"/>
        </w:rPr>
        <w:t>.</w:t>
      </w:r>
    </w:p>
    <w:p w:rsidR="00F66672" w:rsidRPr="008B40A2" w:rsidRDefault="00F66672" w:rsidP="00F66672">
      <w:pPr>
        <w:jc w:val="both"/>
        <w:rPr>
          <w:rFonts w:ascii="Arial" w:hAnsi="Arial" w:cs="Arial"/>
          <w:color w:val="1B1C20"/>
          <w:lang w:val="fr-CH"/>
        </w:rPr>
      </w:pPr>
    </w:p>
    <w:p w:rsidR="00F66672" w:rsidRPr="008B40A2" w:rsidRDefault="00F66672" w:rsidP="00F66672">
      <w:pPr>
        <w:jc w:val="both"/>
        <w:rPr>
          <w:rFonts w:ascii="Arial" w:hAnsi="Arial" w:cs="Arial"/>
          <w:color w:val="1B1C20"/>
          <w:lang w:val="fr-CH"/>
        </w:rPr>
      </w:pPr>
      <w:r w:rsidRPr="008B40A2">
        <w:rPr>
          <w:rFonts w:ascii="Arial" w:hAnsi="Arial" w:cs="Arial"/>
          <w:color w:val="1B1C20"/>
          <w:lang w:val="fr-CH"/>
        </w:rPr>
        <w:t>Le nouveau programme a été conçu pour permettre un maximum de flexibilité et de réactivité afin de s’adapter au mieux à l’évolution de la pandémie d</w:t>
      </w:r>
      <w:r>
        <w:rPr>
          <w:rFonts w:ascii="Arial" w:hAnsi="Arial" w:cs="Arial"/>
          <w:color w:val="1B1C20"/>
          <w:lang w:val="fr-CH"/>
        </w:rPr>
        <w:t>e</w:t>
      </w:r>
      <w:r w:rsidRPr="008B40A2">
        <w:rPr>
          <w:rFonts w:ascii="Arial" w:hAnsi="Arial" w:cs="Arial"/>
          <w:color w:val="1B1C20"/>
          <w:lang w:val="fr-CH"/>
        </w:rPr>
        <w:t xml:space="preserve"> SARS-CoV-2, d’assurer un meilleur ciblage des populations critiques et de garantir une capacité de dépistage à large échelle sur plusieurs mois, idéalement jusqu’à l’arrivée d’un vaccin.</w:t>
      </w:r>
    </w:p>
    <w:p w:rsidR="00F66672" w:rsidRDefault="00F66672" w:rsidP="00F66672">
      <w:pPr>
        <w:jc w:val="both"/>
        <w:rPr>
          <w:rFonts w:ascii="Arial" w:hAnsi="Arial" w:cs="Arial"/>
          <w:color w:val="1B1C20"/>
          <w:lang w:val="fr-CH"/>
        </w:rPr>
      </w:pPr>
    </w:p>
    <w:p w:rsidR="00D20239" w:rsidRPr="00F66672" w:rsidRDefault="00F66672" w:rsidP="00637F0D">
      <w:pPr>
        <w:jc w:val="both"/>
        <w:rPr>
          <w:rFonts w:ascii="Arial" w:hAnsi="Arial" w:cs="Arial"/>
          <w:color w:val="1B1C20"/>
          <w:lang w:val="fr-CH"/>
        </w:rPr>
      </w:pPr>
      <w:r w:rsidRPr="008B40A2">
        <w:rPr>
          <w:rFonts w:ascii="Arial" w:hAnsi="Arial" w:cs="Arial"/>
          <w:color w:val="1B1C20"/>
          <w:lang w:val="fr-CH"/>
        </w:rPr>
        <w:t>L’autorisation du législateur est nécessaire dans la mesure où l’engagement total de l’</w:t>
      </w:r>
      <w:r>
        <w:rPr>
          <w:rFonts w:ascii="Arial" w:hAnsi="Arial" w:cs="Arial"/>
          <w:color w:val="1B1C20"/>
          <w:lang w:val="fr-CH"/>
        </w:rPr>
        <w:t>É</w:t>
      </w:r>
      <w:r w:rsidRPr="008B40A2">
        <w:rPr>
          <w:rFonts w:ascii="Arial" w:hAnsi="Arial" w:cs="Arial"/>
          <w:color w:val="1B1C20"/>
          <w:lang w:val="fr-CH"/>
        </w:rPr>
        <w:t xml:space="preserve">tat </w:t>
      </w:r>
      <w:r w:rsidRPr="00E9620D">
        <w:rPr>
          <w:rFonts w:ascii="Arial" w:hAnsi="Arial" w:cs="Arial"/>
          <w:color w:val="1B1C20"/>
          <w:lang w:val="fr-CH"/>
        </w:rPr>
        <w:t>dépasse le montant prévu à l’article 80, paragraphe 1</w:t>
      </w:r>
      <w:r w:rsidRPr="00E9620D">
        <w:rPr>
          <w:rFonts w:ascii="Arial" w:hAnsi="Arial" w:cs="Arial"/>
          <w:color w:val="1B1C20"/>
          <w:vertAlign w:val="superscript"/>
          <w:lang w:val="fr-CH"/>
        </w:rPr>
        <w:t>er</w:t>
      </w:r>
      <w:r w:rsidRPr="00E9620D">
        <w:rPr>
          <w:rFonts w:ascii="Arial" w:hAnsi="Arial" w:cs="Arial"/>
          <w:color w:val="1B1C20"/>
          <w:lang w:val="fr-CH"/>
        </w:rPr>
        <w:t>, lettre d), de la loi modifiée du 8 juin 1999 sur le budget, la comptabilité et la trésorerie de l’État, en l’occurrence 40 000 000 euros.</w:t>
      </w:r>
    </w:p>
    <w:sectPr w:rsidR="00D20239" w:rsidRPr="00F6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F2" w:rsidRDefault="00E420F2" w:rsidP="00F66672">
      <w:r>
        <w:separator/>
      </w:r>
    </w:p>
  </w:endnote>
  <w:endnote w:type="continuationSeparator" w:id="0">
    <w:p w:rsidR="00E420F2" w:rsidRDefault="00E420F2" w:rsidP="00F6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F2" w:rsidRDefault="00E420F2" w:rsidP="00F66672">
      <w:r>
        <w:separator/>
      </w:r>
    </w:p>
  </w:footnote>
  <w:footnote w:type="continuationSeparator" w:id="0">
    <w:p w:rsidR="00E420F2" w:rsidRDefault="00E420F2" w:rsidP="00F6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3E9C"/>
    <w:multiLevelType w:val="hybridMultilevel"/>
    <w:tmpl w:val="B71C574E"/>
    <w:lvl w:ilvl="0" w:tplc="2E00F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D26"/>
    <w:multiLevelType w:val="hybridMultilevel"/>
    <w:tmpl w:val="C6F8C3E2"/>
    <w:lvl w:ilvl="0" w:tplc="96AA93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7633"/>
    <w:multiLevelType w:val="hybridMultilevel"/>
    <w:tmpl w:val="A8CAF31A"/>
    <w:lvl w:ilvl="0" w:tplc="7D4A2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E"/>
    <w:rsid w:val="0015016D"/>
    <w:rsid w:val="00207275"/>
    <w:rsid w:val="003513E7"/>
    <w:rsid w:val="003F72BF"/>
    <w:rsid w:val="004F31C2"/>
    <w:rsid w:val="00637F0D"/>
    <w:rsid w:val="00673FDE"/>
    <w:rsid w:val="00710FCD"/>
    <w:rsid w:val="009208EF"/>
    <w:rsid w:val="00975985"/>
    <w:rsid w:val="009C24D7"/>
    <w:rsid w:val="00C82A74"/>
    <w:rsid w:val="00D20239"/>
    <w:rsid w:val="00D360FE"/>
    <w:rsid w:val="00D923C1"/>
    <w:rsid w:val="00E420F2"/>
    <w:rsid w:val="00EB111E"/>
    <w:rsid w:val="00F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EB926C-C62C-4614-B9F6-861CED11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0D"/>
    <w:rPr>
      <w:rFonts w:ascii="Tahoma" w:hAnsi="Tahoma" w:cs="Tahom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727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2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aliases w:val="Footnote symbol"/>
    <w:uiPriority w:val="99"/>
    <w:rsid w:val="00F666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3BF1F82-6144-4FE9-B951-99BBB4F3118A}"/>
</file>

<file path=customXml/itemProps2.xml><?xml version="1.0" encoding="utf-8"?>
<ds:datastoreItem xmlns:ds="http://schemas.openxmlformats.org/officeDocument/2006/customXml" ds:itemID="{3631342C-D050-473B-88DC-B80318617745}"/>
</file>

<file path=customXml/itemProps3.xml><?xml version="1.0" encoding="utf-8"?>
<ds:datastoreItem xmlns:ds="http://schemas.openxmlformats.org/officeDocument/2006/customXml" ds:itemID="{B1F758DA-13C6-452C-8767-55679538F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cp:lastPrinted>2020-07-10T16:25:00Z</cp:lastPrinted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