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2A" w:rsidRPr="0064109F" w:rsidRDefault="003E492A" w:rsidP="00E1279D">
      <w:pPr>
        <w:pStyle w:val="Corps"/>
        <w:spacing w:after="0" w:line="240" w:lineRule="auto"/>
        <w:jc w:val="both"/>
        <w:rPr>
          <w:rStyle w:val="Aucun"/>
          <w:rFonts w:ascii="Arial" w:hAnsi="Arial" w:cs="Arial"/>
          <w:b/>
          <w:bCs/>
          <w:color w:val="auto"/>
          <w:u w:color="FF0000"/>
          <w:lang w:val="fr-FR"/>
        </w:rPr>
      </w:pPr>
      <w:bookmarkStart w:id="0" w:name="_GoBack"/>
      <w:bookmarkEnd w:id="0"/>
    </w:p>
    <w:p w:rsidR="000B068B" w:rsidRPr="0064109F" w:rsidRDefault="000B068B" w:rsidP="00E1279D">
      <w:pPr>
        <w:pStyle w:val="Corps"/>
        <w:spacing w:after="0" w:line="240" w:lineRule="auto"/>
        <w:jc w:val="both"/>
        <w:rPr>
          <w:rStyle w:val="Aucun"/>
          <w:rFonts w:ascii="Arial" w:hAnsi="Arial" w:cs="Arial"/>
          <w:b/>
          <w:bCs/>
          <w:color w:val="auto"/>
          <w:u w:color="FF0000"/>
          <w:lang w:val="fr-FR"/>
        </w:rPr>
      </w:pPr>
    </w:p>
    <w:p w:rsidR="003E492A" w:rsidRPr="009A34A8" w:rsidRDefault="00434577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b/>
          <w:bCs/>
          <w:lang w:val="fr-FR"/>
        </w:rPr>
      </w:pPr>
      <w:r w:rsidRPr="009A34A8">
        <w:rPr>
          <w:rStyle w:val="Aucun"/>
          <w:rFonts w:ascii="Arial" w:hAnsi="Arial" w:cs="Arial"/>
          <w:b/>
          <w:bCs/>
          <w:lang w:val="fr-FR"/>
        </w:rPr>
        <w:t>N</w:t>
      </w:r>
      <w:r w:rsidRPr="009A34A8">
        <w:rPr>
          <w:rStyle w:val="Aucun"/>
          <w:rFonts w:ascii="Arial" w:hAnsi="Arial" w:cs="Arial"/>
          <w:b/>
          <w:bCs/>
          <w:vertAlign w:val="superscript"/>
          <w:lang w:val="fr-FR"/>
        </w:rPr>
        <w:t>o</w:t>
      </w:r>
      <w:r w:rsidRPr="009A34A8">
        <w:rPr>
          <w:rStyle w:val="Aucun"/>
          <w:rFonts w:ascii="Arial" w:hAnsi="Arial" w:cs="Arial"/>
          <w:b/>
          <w:bCs/>
          <w:lang w:val="fr-FR"/>
        </w:rPr>
        <w:t xml:space="preserve"> 7</w:t>
      </w:r>
      <w:r w:rsidR="00E1279D" w:rsidRPr="009A34A8">
        <w:rPr>
          <w:rStyle w:val="Aucun"/>
          <w:rFonts w:ascii="Arial" w:hAnsi="Arial" w:cs="Arial"/>
          <w:b/>
          <w:bCs/>
          <w:lang w:val="fr-FR"/>
        </w:rPr>
        <w:t>5</w:t>
      </w:r>
      <w:r w:rsidR="00DE14E5" w:rsidRPr="009A34A8">
        <w:rPr>
          <w:rStyle w:val="Aucun"/>
          <w:rFonts w:ascii="Arial" w:hAnsi="Arial" w:cs="Arial"/>
          <w:b/>
          <w:bCs/>
          <w:lang w:val="fr-FR"/>
        </w:rPr>
        <w:t>75</w:t>
      </w:r>
    </w:p>
    <w:p w:rsidR="003E492A" w:rsidRPr="009A34A8" w:rsidRDefault="003E492A" w:rsidP="00E1279D">
      <w:pPr>
        <w:pStyle w:val="Corps"/>
        <w:tabs>
          <w:tab w:val="left" w:pos="4111"/>
          <w:tab w:val="left" w:pos="4536"/>
          <w:tab w:val="left" w:pos="4678"/>
        </w:tabs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lang w:val="fr-FR"/>
        </w:rPr>
      </w:pPr>
    </w:p>
    <w:p w:rsidR="003E492A" w:rsidRPr="009A34A8" w:rsidRDefault="00434577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lang w:val="fr-FR"/>
        </w:rPr>
      </w:pPr>
      <w:r w:rsidRPr="009A34A8">
        <w:rPr>
          <w:rStyle w:val="Aucun"/>
          <w:rFonts w:ascii="Arial" w:hAnsi="Arial" w:cs="Arial"/>
          <w:lang w:val="fr-FR"/>
        </w:rPr>
        <w:t>CHAMBRE DES DEPUTES</w:t>
      </w:r>
    </w:p>
    <w:p w:rsidR="003E492A" w:rsidRPr="009A34A8" w:rsidRDefault="00434577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lang w:val="fr-FR"/>
        </w:rPr>
      </w:pPr>
      <w:r w:rsidRPr="009A34A8">
        <w:rPr>
          <w:rStyle w:val="Aucun"/>
          <w:rFonts w:ascii="Arial" w:hAnsi="Arial" w:cs="Arial"/>
          <w:lang w:val="fr-FR"/>
        </w:rPr>
        <w:t>Session ordinaire 20</w:t>
      </w:r>
      <w:r w:rsidR="00DE14E5" w:rsidRPr="009A34A8">
        <w:rPr>
          <w:rStyle w:val="Aucun"/>
          <w:rFonts w:ascii="Arial" w:hAnsi="Arial" w:cs="Arial"/>
          <w:lang w:val="fr-FR"/>
        </w:rPr>
        <w:t>2</w:t>
      </w:r>
      <w:r w:rsidR="00593F01" w:rsidRPr="009A34A8">
        <w:rPr>
          <w:rStyle w:val="Aucun"/>
          <w:rFonts w:ascii="Arial" w:hAnsi="Arial" w:cs="Arial"/>
          <w:lang w:val="fr-FR"/>
        </w:rPr>
        <w:t>1</w:t>
      </w:r>
      <w:r w:rsidRPr="009A34A8">
        <w:rPr>
          <w:rStyle w:val="Aucun"/>
          <w:rFonts w:ascii="Arial" w:hAnsi="Arial" w:cs="Arial"/>
          <w:lang w:val="fr-FR"/>
        </w:rPr>
        <w:t>- 202</w:t>
      </w:r>
      <w:r w:rsidR="00593F01" w:rsidRPr="009A34A8">
        <w:rPr>
          <w:rStyle w:val="Aucun"/>
          <w:rFonts w:ascii="Arial" w:hAnsi="Arial" w:cs="Arial"/>
          <w:lang w:val="fr-FR"/>
        </w:rPr>
        <w:t>2</w:t>
      </w:r>
    </w:p>
    <w:p w:rsidR="003E492A" w:rsidRPr="009A34A8" w:rsidRDefault="003E492A" w:rsidP="00E1279D">
      <w:pPr>
        <w:pStyle w:val="Corps"/>
        <w:pBdr>
          <w:bottom w:val="single" w:sz="12" w:space="0" w:color="000000"/>
        </w:pBdr>
        <w:spacing w:after="0" w:line="240" w:lineRule="auto"/>
        <w:jc w:val="center"/>
        <w:rPr>
          <w:rStyle w:val="Aucun"/>
          <w:rFonts w:ascii="Arial" w:eastAsia="Arial" w:hAnsi="Arial" w:cs="Arial"/>
          <w:lang w:val="fr-FR"/>
        </w:rPr>
      </w:pPr>
    </w:p>
    <w:p w:rsidR="003E492A" w:rsidRPr="009A34A8" w:rsidRDefault="003E492A" w:rsidP="00E1279D">
      <w:pPr>
        <w:pStyle w:val="Corps"/>
        <w:spacing w:after="0" w:line="240" w:lineRule="auto"/>
        <w:jc w:val="center"/>
        <w:rPr>
          <w:rStyle w:val="AucunA"/>
          <w:rFonts w:ascii="Arial" w:eastAsia="Arial" w:hAnsi="Arial" w:cs="Arial"/>
          <w:b/>
          <w:bCs/>
          <w:lang w:val="fr-FR"/>
        </w:rPr>
      </w:pPr>
    </w:p>
    <w:p w:rsidR="003E492A" w:rsidRPr="009A34A8" w:rsidRDefault="003E492A" w:rsidP="00E1279D">
      <w:pPr>
        <w:pStyle w:val="Corps"/>
        <w:spacing w:after="0" w:line="240" w:lineRule="auto"/>
        <w:jc w:val="center"/>
        <w:rPr>
          <w:rStyle w:val="AucunA"/>
          <w:rFonts w:ascii="Arial" w:eastAsia="Arial" w:hAnsi="Arial" w:cs="Arial"/>
          <w:b/>
          <w:bCs/>
          <w:lang w:val="fr-FR"/>
        </w:rPr>
      </w:pPr>
    </w:p>
    <w:p w:rsidR="00DE14E5" w:rsidRPr="009A34A8" w:rsidRDefault="00DE14E5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lang w:val="fr-FR"/>
        </w:rPr>
      </w:pPr>
      <w:r w:rsidRPr="009A34A8">
        <w:rPr>
          <w:rFonts w:ascii="Arial" w:hAnsi="Arial" w:cs="Arial"/>
          <w:b/>
          <w:bCs/>
          <w:lang w:val="fr-FR"/>
        </w:rPr>
        <w:t>Proposition de révision du chapitre VI. de la Constitution</w:t>
      </w:r>
      <w:r w:rsidRPr="009A34A8">
        <w:rPr>
          <w:rStyle w:val="Aucun"/>
          <w:rFonts w:ascii="Arial" w:hAnsi="Arial" w:cs="Arial"/>
          <w:lang w:val="fr-FR"/>
        </w:rPr>
        <w:t xml:space="preserve"> </w:t>
      </w:r>
    </w:p>
    <w:p w:rsidR="00DE14E5" w:rsidRPr="009A34A8" w:rsidRDefault="00DE14E5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lang w:val="fr-FR"/>
        </w:rPr>
      </w:pPr>
    </w:p>
    <w:p w:rsidR="003E492A" w:rsidRPr="009A34A8" w:rsidRDefault="00F6482A" w:rsidP="00E1279D">
      <w:pPr>
        <w:pStyle w:val="Corps"/>
        <w:spacing w:after="0" w:line="240" w:lineRule="auto"/>
        <w:jc w:val="center"/>
        <w:rPr>
          <w:rStyle w:val="Aucun"/>
          <w:rFonts w:ascii="Arial" w:hAnsi="Arial" w:cs="Arial"/>
          <w:lang w:val="fr-FR"/>
        </w:rPr>
      </w:pPr>
      <w:r>
        <w:rPr>
          <w:rStyle w:val="Aucun"/>
          <w:rFonts w:ascii="Arial" w:hAnsi="Arial" w:cs="Arial"/>
          <w:lang w:val="fr-FR"/>
        </w:rPr>
        <w:t>Résumé</w:t>
      </w:r>
    </w:p>
    <w:p w:rsidR="003E492A" w:rsidRPr="009A34A8" w:rsidRDefault="003E492A" w:rsidP="00E1279D">
      <w:pPr>
        <w:pStyle w:val="Corps"/>
        <w:spacing w:after="0" w:line="240" w:lineRule="auto"/>
        <w:jc w:val="both"/>
        <w:rPr>
          <w:rStyle w:val="AucunA"/>
          <w:rFonts w:ascii="Arial" w:hAnsi="Arial" w:cs="Arial"/>
          <w:lang w:val="fr-FR"/>
        </w:rPr>
      </w:pPr>
    </w:p>
    <w:p w:rsidR="003E492A" w:rsidRPr="009A34A8" w:rsidRDefault="003E492A" w:rsidP="00E1279D">
      <w:pPr>
        <w:pStyle w:val="Corps"/>
        <w:spacing w:after="0" w:line="240" w:lineRule="auto"/>
        <w:jc w:val="both"/>
        <w:rPr>
          <w:rStyle w:val="AucunA"/>
          <w:rFonts w:ascii="Arial" w:hAnsi="Arial" w:cs="Arial"/>
          <w:lang w:val="fr-FR"/>
        </w:rPr>
      </w:pPr>
    </w:p>
    <w:p w:rsidR="002A6589" w:rsidRPr="009A34A8" w:rsidRDefault="002A6589" w:rsidP="008E036E">
      <w:pPr>
        <w:pStyle w:val="Sansinterlign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A34A8">
        <w:rPr>
          <w:rFonts w:ascii="Arial" w:hAnsi="Arial" w:cs="Arial"/>
          <w:b/>
          <w:bCs/>
          <w:i/>
          <w:iCs/>
          <w:sz w:val="22"/>
          <w:szCs w:val="22"/>
        </w:rPr>
        <w:t xml:space="preserve">Contexte </w:t>
      </w:r>
    </w:p>
    <w:p w:rsidR="008E036E" w:rsidRPr="009A34A8" w:rsidRDefault="008E036E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La présente proposition </w:t>
      </w:r>
      <w:r w:rsidR="006900AD" w:rsidRPr="009A34A8">
        <w:rPr>
          <w:rFonts w:ascii="Arial" w:hAnsi="Arial" w:cs="Arial"/>
          <w:sz w:val="22"/>
          <w:szCs w:val="22"/>
        </w:rPr>
        <w:t xml:space="preserve">ayant trait au chapitre VI. de la Constitution intitulé « De la Justice » </w:t>
      </w:r>
      <w:r w:rsidRPr="009A34A8">
        <w:rPr>
          <w:rFonts w:ascii="Arial" w:hAnsi="Arial" w:cs="Arial"/>
          <w:sz w:val="22"/>
          <w:szCs w:val="22"/>
        </w:rPr>
        <w:t>constitue la première d’une série de propositions de révision en cours d’élaboration et qui, une fois qu’elles auront abouti, feront œuvre d</w:t>
      </w:r>
      <w:r w:rsidR="005209DE" w:rsidRPr="009A34A8">
        <w:rPr>
          <w:rFonts w:ascii="Arial" w:hAnsi="Arial" w:cs="Arial"/>
          <w:sz w:val="22"/>
          <w:szCs w:val="22"/>
        </w:rPr>
        <w:t>’un</w:t>
      </w:r>
      <w:r w:rsidRPr="009A34A8">
        <w:rPr>
          <w:rFonts w:ascii="Arial" w:hAnsi="Arial" w:cs="Arial"/>
          <w:sz w:val="22"/>
          <w:szCs w:val="22"/>
        </w:rPr>
        <w:t xml:space="preserve">e modernisation </w:t>
      </w:r>
      <w:r w:rsidR="005209DE" w:rsidRPr="009A34A8">
        <w:rPr>
          <w:rFonts w:ascii="Arial" w:hAnsi="Arial" w:cs="Arial"/>
          <w:sz w:val="22"/>
          <w:szCs w:val="22"/>
        </w:rPr>
        <w:t xml:space="preserve">par étapes </w:t>
      </w:r>
      <w:r w:rsidRPr="009A34A8">
        <w:rPr>
          <w:rFonts w:ascii="Arial" w:hAnsi="Arial" w:cs="Arial"/>
          <w:sz w:val="22"/>
          <w:szCs w:val="22"/>
        </w:rPr>
        <w:t xml:space="preserve">de la Constitution actuelle. </w:t>
      </w:r>
    </w:p>
    <w:p w:rsidR="00026281" w:rsidRPr="00026281" w:rsidRDefault="008E036E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En ce sens</w:t>
      </w:r>
      <w:r w:rsidR="003D3ACA">
        <w:rPr>
          <w:rFonts w:ascii="Arial" w:hAnsi="Arial" w:cs="Arial"/>
          <w:sz w:val="22"/>
          <w:szCs w:val="22"/>
        </w:rPr>
        <w:t>,</w:t>
      </w:r>
      <w:r w:rsidRPr="009A34A8">
        <w:rPr>
          <w:rFonts w:ascii="Arial" w:hAnsi="Arial" w:cs="Arial"/>
          <w:sz w:val="22"/>
          <w:szCs w:val="22"/>
        </w:rPr>
        <w:t xml:space="preserve"> l</w:t>
      </w:r>
      <w:r w:rsidR="002F688F">
        <w:rPr>
          <w:rFonts w:ascii="Arial" w:hAnsi="Arial" w:cs="Arial"/>
          <w:sz w:val="22"/>
          <w:szCs w:val="22"/>
        </w:rPr>
        <w:t>a</w:t>
      </w:r>
      <w:r w:rsidRPr="009A34A8">
        <w:rPr>
          <w:rFonts w:ascii="Arial" w:hAnsi="Arial" w:cs="Arial"/>
          <w:sz w:val="22"/>
          <w:szCs w:val="22"/>
        </w:rPr>
        <w:t xml:space="preserve"> présent</w:t>
      </w:r>
      <w:r w:rsidR="002F688F">
        <w:rPr>
          <w:rFonts w:ascii="Arial" w:hAnsi="Arial" w:cs="Arial"/>
          <w:sz w:val="22"/>
          <w:szCs w:val="22"/>
        </w:rPr>
        <w:t>e</w:t>
      </w:r>
      <w:r w:rsidRPr="009A34A8">
        <w:rPr>
          <w:rFonts w:ascii="Arial" w:hAnsi="Arial" w:cs="Arial"/>
          <w:sz w:val="22"/>
          <w:szCs w:val="22"/>
        </w:rPr>
        <w:t xml:space="preserve"> pro</w:t>
      </w:r>
      <w:r w:rsidR="002F688F">
        <w:rPr>
          <w:rFonts w:ascii="Arial" w:hAnsi="Arial" w:cs="Arial"/>
          <w:sz w:val="22"/>
          <w:szCs w:val="22"/>
        </w:rPr>
        <w:t>position</w:t>
      </w:r>
      <w:r w:rsidRPr="009A34A8">
        <w:rPr>
          <w:rFonts w:ascii="Arial" w:hAnsi="Arial" w:cs="Arial"/>
          <w:sz w:val="22"/>
          <w:szCs w:val="22"/>
        </w:rPr>
        <w:t xml:space="preserve"> se distingue de la proposition de révision n°6030 qui avait pour ambition d’écrire une Constitution entièrement nouvelle.</w:t>
      </w:r>
    </w:p>
    <w:p w:rsidR="008E036E" w:rsidRPr="009A34A8" w:rsidRDefault="008E036E" w:rsidP="008E036E">
      <w:pPr>
        <w:pStyle w:val="Sansinterlign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A34A8">
        <w:rPr>
          <w:rFonts w:ascii="Arial" w:hAnsi="Arial" w:cs="Arial"/>
          <w:b/>
          <w:bCs/>
          <w:i/>
          <w:iCs/>
          <w:sz w:val="22"/>
          <w:szCs w:val="22"/>
        </w:rPr>
        <w:t>Objet de la proposition de révision</w:t>
      </w:r>
    </w:p>
    <w:p w:rsidR="00672CA8" w:rsidRPr="009A34A8" w:rsidRDefault="00672CA8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La proposition de révision s’articule autour de plusieurs idées :</w:t>
      </w:r>
    </w:p>
    <w:p w:rsidR="0021442F" w:rsidRPr="009A34A8" w:rsidRDefault="00672CA8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- </w:t>
      </w:r>
      <w:r w:rsidR="005209DE" w:rsidRPr="009A34A8">
        <w:rPr>
          <w:rFonts w:ascii="Arial" w:hAnsi="Arial" w:cs="Arial"/>
          <w:sz w:val="22"/>
          <w:szCs w:val="22"/>
        </w:rPr>
        <w:t>insérer</w:t>
      </w:r>
      <w:r w:rsidRPr="009A34A8">
        <w:rPr>
          <w:rFonts w:ascii="Arial" w:hAnsi="Arial" w:cs="Arial"/>
          <w:sz w:val="22"/>
          <w:szCs w:val="22"/>
        </w:rPr>
        <w:t xml:space="preserve"> l’indépendance de la Justice </w:t>
      </w:r>
      <w:r w:rsidR="005209DE" w:rsidRPr="009A34A8">
        <w:rPr>
          <w:rFonts w:ascii="Arial" w:hAnsi="Arial" w:cs="Arial"/>
          <w:sz w:val="22"/>
          <w:szCs w:val="22"/>
        </w:rPr>
        <w:t xml:space="preserve">dans la Constitution </w:t>
      </w:r>
      <w:r w:rsidRPr="009A34A8">
        <w:rPr>
          <w:rFonts w:ascii="Arial" w:hAnsi="Arial" w:cs="Arial"/>
          <w:sz w:val="22"/>
          <w:szCs w:val="22"/>
        </w:rPr>
        <w:t>via la consécration d’un statut des magistrats</w:t>
      </w:r>
      <w:r w:rsidR="0021442F" w:rsidRPr="009A34A8">
        <w:rPr>
          <w:rFonts w:ascii="Arial" w:hAnsi="Arial" w:cs="Arial"/>
          <w:sz w:val="22"/>
          <w:szCs w:val="22"/>
        </w:rPr>
        <w:t>,</w:t>
      </w:r>
    </w:p>
    <w:p w:rsidR="00672CA8" w:rsidRPr="009A34A8" w:rsidRDefault="0021442F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- </w:t>
      </w:r>
      <w:r w:rsidR="005209DE" w:rsidRPr="009A34A8">
        <w:rPr>
          <w:rFonts w:ascii="Arial" w:hAnsi="Arial" w:cs="Arial"/>
          <w:sz w:val="22"/>
          <w:szCs w:val="22"/>
        </w:rPr>
        <w:t xml:space="preserve">instituer </w:t>
      </w:r>
      <w:r w:rsidR="00672CA8" w:rsidRPr="009A34A8">
        <w:rPr>
          <w:rFonts w:ascii="Arial" w:hAnsi="Arial" w:cs="Arial"/>
          <w:sz w:val="22"/>
          <w:szCs w:val="22"/>
        </w:rPr>
        <w:t xml:space="preserve">un Conseil national de la </w:t>
      </w:r>
      <w:r w:rsidR="00FF318B" w:rsidRPr="009A34A8">
        <w:rPr>
          <w:rFonts w:ascii="Arial" w:hAnsi="Arial" w:cs="Arial"/>
          <w:sz w:val="22"/>
          <w:szCs w:val="22"/>
        </w:rPr>
        <w:t>j</w:t>
      </w:r>
      <w:r w:rsidR="00672CA8" w:rsidRPr="009A34A8">
        <w:rPr>
          <w:rFonts w:ascii="Arial" w:hAnsi="Arial" w:cs="Arial"/>
          <w:sz w:val="22"/>
          <w:szCs w:val="22"/>
        </w:rPr>
        <w:t>ustice</w:t>
      </w:r>
      <w:r w:rsidR="00C2175A" w:rsidRPr="009A34A8">
        <w:rPr>
          <w:rFonts w:ascii="Arial" w:hAnsi="Arial" w:cs="Arial"/>
          <w:sz w:val="22"/>
          <w:szCs w:val="22"/>
        </w:rPr>
        <w:t xml:space="preserve">, </w:t>
      </w:r>
    </w:p>
    <w:p w:rsidR="001F5B74" w:rsidRPr="009A34A8" w:rsidRDefault="00C2175A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- regrouper dans une section unique les principales garanties du justiciable</w:t>
      </w:r>
      <w:r w:rsidR="005209DE" w:rsidRPr="009A34A8">
        <w:rPr>
          <w:rFonts w:ascii="Arial" w:hAnsi="Arial" w:cs="Arial"/>
          <w:sz w:val="22"/>
          <w:szCs w:val="22"/>
        </w:rPr>
        <w:t>, le principe de la présomption d’innocence</w:t>
      </w:r>
      <w:r w:rsidR="00845D6E" w:rsidRPr="009A34A8">
        <w:rPr>
          <w:rFonts w:ascii="Arial" w:hAnsi="Arial" w:cs="Arial"/>
          <w:sz w:val="22"/>
          <w:szCs w:val="22"/>
        </w:rPr>
        <w:t xml:space="preserve"> </w:t>
      </w:r>
      <w:r w:rsidR="005209DE" w:rsidRPr="009A34A8">
        <w:rPr>
          <w:rFonts w:ascii="Arial" w:hAnsi="Arial" w:cs="Arial"/>
          <w:sz w:val="22"/>
          <w:szCs w:val="22"/>
        </w:rPr>
        <w:t>étant consacré dans le chapitre</w:t>
      </w:r>
      <w:r w:rsidR="003D0809" w:rsidRPr="009A34A8">
        <w:rPr>
          <w:rFonts w:ascii="Arial" w:hAnsi="Arial" w:cs="Arial"/>
          <w:sz w:val="22"/>
          <w:szCs w:val="22"/>
        </w:rPr>
        <w:t xml:space="preserve"> II. – Des droits et libertés de la proposition de révision n°7755</w:t>
      </w:r>
      <w:r w:rsidR="001F5B74" w:rsidRPr="009A34A8">
        <w:rPr>
          <w:rFonts w:ascii="Arial" w:hAnsi="Arial" w:cs="Arial"/>
          <w:sz w:val="22"/>
          <w:szCs w:val="22"/>
        </w:rPr>
        <w:t>,</w:t>
      </w:r>
      <w:r w:rsidR="005209DE" w:rsidRPr="009A34A8">
        <w:rPr>
          <w:rFonts w:ascii="Arial" w:hAnsi="Arial" w:cs="Arial"/>
          <w:sz w:val="22"/>
          <w:szCs w:val="22"/>
        </w:rPr>
        <w:t xml:space="preserve"> </w:t>
      </w:r>
      <w:r w:rsidR="00845D6E" w:rsidRPr="009A34A8">
        <w:rPr>
          <w:rFonts w:ascii="Arial" w:hAnsi="Arial" w:cs="Arial"/>
          <w:sz w:val="22"/>
          <w:szCs w:val="22"/>
        </w:rPr>
        <w:t>et</w:t>
      </w:r>
    </w:p>
    <w:p w:rsidR="00C2175A" w:rsidRPr="009A34A8" w:rsidRDefault="00C2175A" w:rsidP="008E036E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- élargir les attributions de la Cour Constitutionnelle.</w:t>
      </w:r>
    </w:p>
    <w:p w:rsidR="00C2175A" w:rsidRPr="0064109F" w:rsidRDefault="00C2175A">
      <w:pPr>
        <w:rPr>
          <w:rStyle w:val="Aucun"/>
          <w:rFonts w:ascii="Arial" w:hAnsi="Arial" w:cs="Arial"/>
          <w:sz w:val="22"/>
          <w:szCs w:val="22"/>
          <w:lang w:val="fr-FR"/>
        </w:rPr>
      </w:pP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Par rapport à la Constitution actuelle, le texte innove sur plusieurs points :</w:t>
      </w:r>
    </w:p>
    <w:p w:rsidR="00C2175A" w:rsidRPr="009A34A8" w:rsidRDefault="00C2175A" w:rsidP="00C2175A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De l’organisation de la Justice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A l’instar des autres propositions de révision, le Constituant a choisi de consacrer dans le texte constitutionnel la notion de « pouvoir judiciaire », i.e. le pouvoir de rendre la justice, par opposition aux pouvoirs législatif et exécutif, </w:t>
      </w:r>
      <w:r w:rsidR="00B44980" w:rsidRPr="009A34A8">
        <w:rPr>
          <w:rFonts w:ascii="Arial" w:hAnsi="Arial" w:cs="Arial"/>
          <w:sz w:val="22"/>
          <w:szCs w:val="22"/>
        </w:rPr>
        <w:t>qui</w:t>
      </w:r>
      <w:r w:rsidRPr="009A34A8">
        <w:rPr>
          <w:rFonts w:ascii="Arial" w:hAnsi="Arial" w:cs="Arial"/>
          <w:sz w:val="22"/>
          <w:szCs w:val="22"/>
        </w:rPr>
        <w:t xml:space="preserve"> est exercé par les cours et tribunaux. 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Alors que l’organisation de l’appareil judiciaire en deux ordres juridictionnels est maintenue et que les deux ordres, judiciaire et administratif, continuent à évoluer sur un pied d’égalité bien que dans des sphères de compétence différentes, la Cour Constitutionnelle sera à l’avenir appelée à trancher d’éventuels conflits d’attributions.</w:t>
      </w:r>
    </w:p>
    <w:p w:rsidR="00C2175A" w:rsidRPr="009A34A8" w:rsidRDefault="00C2175A" w:rsidP="00C2175A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De l’indépendance de la Justice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lastRenderedPageBreak/>
        <w:t xml:space="preserve">Cette indépendance est consacrée via la définition au niveau constitutionnel d’un statut des magistrats et renforcée à travers la création d’un Conseil national de la </w:t>
      </w:r>
      <w:r w:rsidR="00FF318B" w:rsidRPr="009A34A8">
        <w:rPr>
          <w:rFonts w:ascii="Arial" w:hAnsi="Arial" w:cs="Arial"/>
          <w:sz w:val="22"/>
          <w:szCs w:val="22"/>
        </w:rPr>
        <w:t>j</w:t>
      </w:r>
      <w:r w:rsidRPr="009A34A8">
        <w:rPr>
          <w:rFonts w:ascii="Arial" w:hAnsi="Arial" w:cs="Arial"/>
          <w:sz w:val="22"/>
          <w:szCs w:val="22"/>
        </w:rPr>
        <w:t xml:space="preserve">ustice lequel sera notamment appelé à intervenir dans la procédure de nomination </w:t>
      </w:r>
      <w:r w:rsidR="00C37ADB" w:rsidRPr="009A34A8">
        <w:rPr>
          <w:rFonts w:ascii="Arial" w:hAnsi="Arial" w:cs="Arial"/>
          <w:sz w:val="22"/>
          <w:szCs w:val="22"/>
        </w:rPr>
        <w:t xml:space="preserve">des magistrats </w:t>
      </w:r>
      <w:r w:rsidRPr="009A34A8">
        <w:rPr>
          <w:rFonts w:ascii="Arial" w:hAnsi="Arial" w:cs="Arial"/>
          <w:sz w:val="22"/>
          <w:szCs w:val="22"/>
        </w:rPr>
        <w:t>et dans les procédures disciplinaires dirigées contre ceux-ci.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L’indépendance de la Justice a comme corollaire que le juge est inamovible. L’indépendance est par ailleurs strictement circonscrite aux fonctions juridictionnelles. Il s’agit donc à proprement parler d’une indépendance fonctionnelle. 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L’indépendance de la Justice implique également qu’il y ait une nette séparation entre la magistrature assise et le ministère public. 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L’indépendance de la Justice agit de manière variable. Appliqué</w:t>
      </w:r>
      <w:r w:rsidR="00307853">
        <w:rPr>
          <w:rFonts w:ascii="Arial" w:hAnsi="Arial" w:cs="Arial"/>
          <w:sz w:val="22"/>
          <w:szCs w:val="22"/>
        </w:rPr>
        <w:t>e</w:t>
      </w:r>
      <w:r w:rsidRPr="009A34A8">
        <w:rPr>
          <w:rFonts w:ascii="Arial" w:hAnsi="Arial" w:cs="Arial"/>
          <w:sz w:val="22"/>
          <w:szCs w:val="22"/>
        </w:rPr>
        <w:t xml:space="preserve"> au parquet</w:t>
      </w:r>
      <w:r w:rsidR="00307853">
        <w:rPr>
          <w:rFonts w:ascii="Arial" w:hAnsi="Arial" w:cs="Arial"/>
          <w:sz w:val="22"/>
          <w:szCs w:val="22"/>
        </w:rPr>
        <w:t>,</w:t>
      </w:r>
      <w:r w:rsidRPr="009A34A8">
        <w:rPr>
          <w:rFonts w:ascii="Arial" w:hAnsi="Arial" w:cs="Arial"/>
          <w:sz w:val="22"/>
          <w:szCs w:val="22"/>
        </w:rPr>
        <w:t xml:space="preserve"> elle n’a rien d’absolu. Le pouvoir politique doit en effet pouvoir formuler des directives de politique pénale à l’adresse du ministère public. </w:t>
      </w:r>
      <w:r w:rsidR="00B44980" w:rsidRPr="0064109F">
        <w:rPr>
          <w:rFonts w:ascii="Arial" w:hAnsi="Arial" w:cs="Arial"/>
          <w:i/>
          <w:iCs/>
          <w:sz w:val="22"/>
          <w:szCs w:val="22"/>
        </w:rPr>
        <w:t>In fine</w:t>
      </w:r>
      <w:r w:rsidR="00B44980" w:rsidRPr="009A34A8">
        <w:rPr>
          <w:rFonts w:ascii="Arial" w:hAnsi="Arial" w:cs="Arial"/>
          <w:sz w:val="22"/>
          <w:szCs w:val="22"/>
        </w:rPr>
        <w:t xml:space="preserve">, c’est aussi le Ministre de la Justice qui assumera la responsabilité politique. </w:t>
      </w:r>
    </w:p>
    <w:p w:rsidR="00B44980" w:rsidRPr="009A34A8" w:rsidRDefault="004B0530" w:rsidP="004B0530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Du Conseil national de la </w:t>
      </w:r>
      <w:r w:rsidR="00FF318B" w:rsidRPr="009A34A8">
        <w:rPr>
          <w:rFonts w:ascii="Arial" w:hAnsi="Arial" w:cs="Arial"/>
          <w:sz w:val="22"/>
          <w:szCs w:val="22"/>
        </w:rPr>
        <w:t>j</w:t>
      </w:r>
      <w:r w:rsidRPr="009A34A8">
        <w:rPr>
          <w:rFonts w:ascii="Arial" w:hAnsi="Arial" w:cs="Arial"/>
          <w:sz w:val="22"/>
          <w:szCs w:val="22"/>
        </w:rPr>
        <w:t>ustice</w:t>
      </w:r>
    </w:p>
    <w:p w:rsidR="004B0530" w:rsidRPr="009A34A8" w:rsidRDefault="004B0530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La consécration d’un tel organe est d’une importance fondamentale. Le Conseil national de la </w:t>
      </w:r>
      <w:r w:rsidR="00FF318B" w:rsidRPr="009A34A8">
        <w:rPr>
          <w:rFonts w:ascii="Arial" w:hAnsi="Arial" w:cs="Arial"/>
          <w:sz w:val="22"/>
          <w:szCs w:val="22"/>
        </w:rPr>
        <w:t>j</w:t>
      </w:r>
      <w:r w:rsidRPr="009A34A8">
        <w:rPr>
          <w:rFonts w:ascii="Arial" w:hAnsi="Arial" w:cs="Arial"/>
          <w:sz w:val="22"/>
          <w:szCs w:val="22"/>
        </w:rPr>
        <w:t xml:space="preserve">ustice aura pour mission de renforcer l’indépendance de la justice et sa transparence. Parmi ses compétences figure celle de proposer la nomination des magistrats. Il aura également un rôle à jouer dans la procédure disciplinaire </w:t>
      </w:r>
      <w:r w:rsidR="00FF318B" w:rsidRPr="009A34A8">
        <w:rPr>
          <w:rFonts w:ascii="Arial" w:hAnsi="Arial" w:cs="Arial"/>
          <w:sz w:val="22"/>
          <w:szCs w:val="22"/>
        </w:rPr>
        <w:t xml:space="preserve">engagée </w:t>
      </w:r>
      <w:r w:rsidRPr="009A34A8">
        <w:rPr>
          <w:rFonts w:ascii="Arial" w:hAnsi="Arial" w:cs="Arial"/>
          <w:sz w:val="22"/>
          <w:szCs w:val="22"/>
        </w:rPr>
        <w:t xml:space="preserve">à l’égard de ces derniers. </w:t>
      </w:r>
    </w:p>
    <w:p w:rsidR="00C2175A" w:rsidRPr="009A34A8" w:rsidRDefault="00C2175A" w:rsidP="00C2175A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Des garanties du justiciable</w:t>
      </w:r>
    </w:p>
    <w:p w:rsidR="00552D87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 xml:space="preserve">Une des nouveautés du dispositif constitutionnel futur constitue la consécration de garanties des justiciables dans le cadre des procès en justice. </w:t>
      </w:r>
    </w:p>
    <w:p w:rsidR="00C2175A" w:rsidRPr="009A34A8" w:rsidRDefault="00C2175A" w:rsidP="00C2175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Si ces garanties se trouvent déjà à l’heure actuelle inscrite</w:t>
      </w:r>
      <w:r w:rsidR="00102833">
        <w:rPr>
          <w:rFonts w:ascii="Arial" w:hAnsi="Arial" w:cs="Arial"/>
          <w:sz w:val="22"/>
          <w:szCs w:val="22"/>
        </w:rPr>
        <w:t>s</w:t>
      </w:r>
      <w:r w:rsidRPr="009A34A8">
        <w:rPr>
          <w:rFonts w:ascii="Arial" w:hAnsi="Arial" w:cs="Arial"/>
          <w:sz w:val="22"/>
          <w:szCs w:val="22"/>
        </w:rPr>
        <w:t xml:space="preserve"> </w:t>
      </w:r>
      <w:r w:rsidR="00102833">
        <w:rPr>
          <w:rFonts w:ascii="Arial" w:hAnsi="Arial" w:cs="Arial"/>
          <w:sz w:val="22"/>
          <w:szCs w:val="22"/>
        </w:rPr>
        <w:t>-</w:t>
      </w:r>
      <w:r w:rsidRPr="009A34A8">
        <w:rPr>
          <w:rFonts w:ascii="Arial" w:hAnsi="Arial" w:cs="Arial"/>
          <w:sz w:val="22"/>
          <w:szCs w:val="22"/>
        </w:rPr>
        <w:t xml:space="preserve"> de manière éparpillée</w:t>
      </w:r>
      <w:r w:rsidR="00102833">
        <w:rPr>
          <w:rFonts w:ascii="Arial" w:hAnsi="Arial" w:cs="Arial"/>
          <w:sz w:val="22"/>
          <w:szCs w:val="22"/>
        </w:rPr>
        <w:t xml:space="preserve"> -</w:t>
      </w:r>
      <w:r w:rsidRPr="009A34A8">
        <w:rPr>
          <w:rFonts w:ascii="Arial" w:hAnsi="Arial" w:cs="Arial"/>
          <w:sz w:val="22"/>
          <w:szCs w:val="22"/>
        </w:rPr>
        <w:t xml:space="preserve"> dans la Constitution, elles sont désormais regroupée</w:t>
      </w:r>
      <w:r w:rsidR="00552D87" w:rsidRPr="009A34A8">
        <w:rPr>
          <w:rFonts w:ascii="Arial" w:hAnsi="Arial" w:cs="Arial"/>
          <w:sz w:val="22"/>
          <w:szCs w:val="22"/>
        </w:rPr>
        <w:t xml:space="preserve">s ce qui améliore </w:t>
      </w:r>
      <w:r w:rsidRPr="009A34A8">
        <w:rPr>
          <w:rFonts w:ascii="Arial" w:hAnsi="Arial" w:cs="Arial"/>
          <w:sz w:val="22"/>
          <w:szCs w:val="22"/>
        </w:rPr>
        <w:t>au</w:t>
      </w:r>
      <w:r w:rsidR="00552D87" w:rsidRPr="009A34A8">
        <w:rPr>
          <w:rFonts w:ascii="Arial" w:hAnsi="Arial" w:cs="Arial"/>
          <w:sz w:val="22"/>
          <w:szCs w:val="22"/>
        </w:rPr>
        <w:t xml:space="preserve"> demeurant</w:t>
      </w:r>
      <w:r w:rsidRPr="009A34A8">
        <w:rPr>
          <w:rFonts w:ascii="Arial" w:hAnsi="Arial" w:cs="Arial"/>
          <w:sz w:val="22"/>
          <w:szCs w:val="22"/>
        </w:rPr>
        <w:t xml:space="preserve"> la lisibilité du texte constitutionnel s’y rapportant. Il est à cet égard utile de rappeler que le</w:t>
      </w:r>
      <w:r w:rsidR="004B0530" w:rsidRPr="009A34A8">
        <w:rPr>
          <w:rFonts w:ascii="Arial" w:hAnsi="Arial" w:cs="Arial"/>
          <w:sz w:val="22"/>
          <w:szCs w:val="22"/>
        </w:rPr>
        <w:t xml:space="preserve"> chapitre II de la proposition de révision n°7755 complétera</w:t>
      </w:r>
      <w:r w:rsidRPr="009A34A8">
        <w:rPr>
          <w:rFonts w:ascii="Arial" w:hAnsi="Arial" w:cs="Arial"/>
          <w:sz w:val="22"/>
          <w:szCs w:val="22"/>
        </w:rPr>
        <w:t xml:space="preserve"> cette liste</w:t>
      </w:r>
      <w:r w:rsidR="00102833">
        <w:rPr>
          <w:rFonts w:ascii="Arial" w:hAnsi="Arial" w:cs="Arial"/>
          <w:sz w:val="22"/>
          <w:szCs w:val="22"/>
        </w:rPr>
        <w:t xml:space="preserve"> </w:t>
      </w:r>
      <w:r w:rsidRPr="009A34A8">
        <w:rPr>
          <w:rFonts w:ascii="Arial" w:hAnsi="Arial" w:cs="Arial"/>
          <w:sz w:val="22"/>
          <w:szCs w:val="22"/>
        </w:rPr>
        <w:t xml:space="preserve">avec notamment la consécration du principe de la légalité des peines, </w:t>
      </w:r>
      <w:r w:rsidR="00552D87" w:rsidRPr="009A34A8">
        <w:rPr>
          <w:rFonts w:ascii="Arial" w:hAnsi="Arial" w:cs="Arial"/>
          <w:sz w:val="22"/>
          <w:szCs w:val="22"/>
        </w:rPr>
        <w:t xml:space="preserve">voire </w:t>
      </w:r>
      <w:r w:rsidRPr="009A34A8">
        <w:rPr>
          <w:rFonts w:ascii="Arial" w:hAnsi="Arial" w:cs="Arial"/>
          <w:sz w:val="22"/>
          <w:szCs w:val="22"/>
        </w:rPr>
        <w:t xml:space="preserve">de la présomption d’innocence. </w:t>
      </w:r>
    </w:p>
    <w:p w:rsidR="00C2175A" w:rsidRPr="009A34A8" w:rsidRDefault="00C2175A" w:rsidP="001F5B74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A34A8">
        <w:rPr>
          <w:rFonts w:ascii="Arial" w:hAnsi="Arial" w:cs="Arial"/>
          <w:sz w:val="22"/>
          <w:szCs w:val="22"/>
        </w:rPr>
        <w:t>De la Cour Constitutionnelle</w:t>
      </w:r>
    </w:p>
    <w:p w:rsidR="00C2175A" w:rsidRPr="009A34A8" w:rsidRDefault="00387441" w:rsidP="00C2175A">
      <w:pPr>
        <w:pStyle w:val="Sansinterligne"/>
        <w:jc w:val="both"/>
        <w:rPr>
          <w:rStyle w:val="AucunA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C2175A" w:rsidRPr="009A34A8">
        <w:rPr>
          <w:rFonts w:ascii="Arial" w:hAnsi="Arial" w:cs="Arial"/>
          <w:sz w:val="22"/>
          <w:szCs w:val="22"/>
        </w:rPr>
        <w:t xml:space="preserve"> appartiendra à l’avenir à la Cour Constitutionnelle de connaître des conflits d’attributions. </w:t>
      </w:r>
      <w:r w:rsidR="004B0530" w:rsidRPr="009A34A8">
        <w:rPr>
          <w:rFonts w:ascii="Arial" w:hAnsi="Arial" w:cs="Arial"/>
          <w:sz w:val="22"/>
          <w:szCs w:val="22"/>
        </w:rPr>
        <w:t>En outre,</w:t>
      </w:r>
      <w:r w:rsidR="00C2175A" w:rsidRPr="009A34A8">
        <w:rPr>
          <w:rFonts w:ascii="Arial" w:hAnsi="Arial" w:cs="Arial"/>
          <w:sz w:val="22"/>
          <w:szCs w:val="22"/>
        </w:rPr>
        <w:t xml:space="preserve"> une loi votée à la majorité qualifiée réunissant au moins les deux tiers des suffrages des membres de la Chambre des Députés pourra élargir les compétences de la Cour Constitutionnelle.</w:t>
      </w:r>
    </w:p>
    <w:p w:rsidR="0069493C" w:rsidRPr="009A34A8" w:rsidRDefault="0069493C" w:rsidP="0069493C">
      <w:pPr>
        <w:pStyle w:val="Paragraphedeliste"/>
        <w:spacing w:after="0" w:line="240" w:lineRule="auto"/>
        <w:ind w:left="1146"/>
        <w:jc w:val="both"/>
        <w:rPr>
          <w:rStyle w:val="Aucun"/>
          <w:rFonts w:ascii="Arial" w:hAnsi="Arial" w:cs="Arial"/>
          <w:b/>
          <w:bCs/>
        </w:rPr>
      </w:pPr>
    </w:p>
    <w:p w:rsidR="003E492A" w:rsidRPr="009A34A8" w:rsidRDefault="003E492A" w:rsidP="00E1279D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lang w:val="fr-FR"/>
        </w:rPr>
      </w:pPr>
    </w:p>
    <w:sectPr w:rsidR="003E492A" w:rsidRPr="009A34A8"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33" w:rsidRDefault="00480C33">
      <w:r>
        <w:separator/>
      </w:r>
    </w:p>
  </w:endnote>
  <w:endnote w:type="continuationSeparator" w:id="0">
    <w:p w:rsidR="00480C33" w:rsidRDefault="0048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2A" w:rsidRDefault="00434577">
    <w:pPr>
      <w:pStyle w:val="Pieddepage"/>
      <w:tabs>
        <w:tab w:val="clear" w:pos="9072"/>
        <w:tab w:val="right" w:pos="9046"/>
      </w:tabs>
      <w:jc w:val="center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8968C8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33" w:rsidRDefault="00480C33">
      <w:r>
        <w:separator/>
      </w:r>
    </w:p>
  </w:footnote>
  <w:footnote w:type="continuationSeparator" w:id="0">
    <w:p w:rsidR="00480C33" w:rsidRDefault="0048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B07"/>
    <w:multiLevelType w:val="hybridMultilevel"/>
    <w:tmpl w:val="A080F6C6"/>
    <w:lvl w:ilvl="0" w:tplc="04708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234"/>
    <w:multiLevelType w:val="hybridMultilevel"/>
    <w:tmpl w:val="2DAEC49A"/>
    <w:lvl w:ilvl="0" w:tplc="C2F0200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C6455"/>
    <w:multiLevelType w:val="hybridMultilevel"/>
    <w:tmpl w:val="065C4BD2"/>
    <w:lvl w:ilvl="0" w:tplc="E662B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323F"/>
    <w:multiLevelType w:val="hybridMultilevel"/>
    <w:tmpl w:val="3BF81398"/>
    <w:numStyleLink w:val="Style1import"/>
  </w:abstractNum>
  <w:abstractNum w:abstractNumId="4" w15:restartNumberingAfterBreak="0">
    <w:nsid w:val="1BF83466"/>
    <w:multiLevelType w:val="hybridMultilevel"/>
    <w:tmpl w:val="3A1250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134F"/>
    <w:multiLevelType w:val="hybridMultilevel"/>
    <w:tmpl w:val="D3E4653A"/>
    <w:styleLink w:val="Puces"/>
    <w:lvl w:ilvl="0" w:tplc="FC7CB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8DB7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8F2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851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815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CC75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7CD1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F88D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6A3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C66DB"/>
    <w:multiLevelType w:val="hybridMultilevel"/>
    <w:tmpl w:val="A080F6C6"/>
    <w:lvl w:ilvl="0" w:tplc="04708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7083"/>
    <w:multiLevelType w:val="hybridMultilevel"/>
    <w:tmpl w:val="3BF81398"/>
    <w:styleLink w:val="Style1import"/>
    <w:lvl w:ilvl="0" w:tplc="2B6E719A">
      <w:start w:val="1"/>
      <w:numFmt w:val="upperRoman"/>
      <w:lvlText w:val="%1."/>
      <w:lvlJc w:val="left"/>
      <w:pPr>
        <w:tabs>
          <w:tab w:val="num" w:pos="801"/>
        </w:tabs>
        <w:ind w:left="813" w:hanging="38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7C6B76">
      <w:start w:val="1"/>
      <w:numFmt w:val="lowerLetter"/>
      <w:lvlText w:val="%2."/>
      <w:lvlJc w:val="left"/>
      <w:pPr>
        <w:tabs>
          <w:tab w:val="left" w:pos="674"/>
          <w:tab w:val="num" w:pos="1416"/>
        </w:tabs>
        <w:ind w:left="1428" w:hanging="34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F324DE8">
      <w:start w:val="1"/>
      <w:numFmt w:val="lowerRoman"/>
      <w:lvlText w:val="%3."/>
      <w:lvlJc w:val="left"/>
      <w:pPr>
        <w:tabs>
          <w:tab w:val="left" w:pos="674"/>
          <w:tab w:val="num" w:pos="2124"/>
        </w:tabs>
        <w:ind w:left="2136" w:hanging="2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AA1E42">
      <w:start w:val="1"/>
      <w:numFmt w:val="decimal"/>
      <w:lvlText w:val="%4."/>
      <w:lvlJc w:val="left"/>
      <w:pPr>
        <w:tabs>
          <w:tab w:val="left" w:pos="674"/>
          <w:tab w:val="num" w:pos="2832"/>
        </w:tabs>
        <w:ind w:left="2844" w:hanging="32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AE73FA">
      <w:start w:val="1"/>
      <w:numFmt w:val="lowerLetter"/>
      <w:lvlText w:val="%5."/>
      <w:lvlJc w:val="left"/>
      <w:pPr>
        <w:tabs>
          <w:tab w:val="left" w:pos="674"/>
          <w:tab w:val="num" w:pos="3540"/>
        </w:tabs>
        <w:ind w:left="3552" w:hanging="3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2A21BE">
      <w:start w:val="1"/>
      <w:numFmt w:val="lowerRoman"/>
      <w:lvlText w:val="%6."/>
      <w:lvlJc w:val="left"/>
      <w:pPr>
        <w:tabs>
          <w:tab w:val="left" w:pos="674"/>
          <w:tab w:val="num" w:pos="4248"/>
        </w:tabs>
        <w:ind w:left="4260" w:hanging="23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C5E57CA">
      <w:start w:val="1"/>
      <w:numFmt w:val="decimal"/>
      <w:lvlText w:val="%7."/>
      <w:lvlJc w:val="left"/>
      <w:pPr>
        <w:tabs>
          <w:tab w:val="left" w:pos="674"/>
          <w:tab w:val="num" w:pos="4956"/>
        </w:tabs>
        <w:ind w:left="4968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F46532">
      <w:start w:val="1"/>
      <w:numFmt w:val="lowerLetter"/>
      <w:lvlText w:val="%8."/>
      <w:lvlJc w:val="left"/>
      <w:pPr>
        <w:tabs>
          <w:tab w:val="left" w:pos="674"/>
          <w:tab w:val="num" w:pos="5664"/>
        </w:tabs>
        <w:ind w:left="5676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67CE836">
      <w:start w:val="1"/>
      <w:numFmt w:val="lowerRoman"/>
      <w:suff w:val="nothing"/>
      <w:lvlText w:val="%9."/>
      <w:lvlJc w:val="left"/>
      <w:pPr>
        <w:tabs>
          <w:tab w:val="left" w:pos="674"/>
        </w:tabs>
        <w:ind w:left="6330" w:hanging="14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40327C49"/>
    <w:multiLevelType w:val="hybridMultilevel"/>
    <w:tmpl w:val="404AB900"/>
    <w:lvl w:ilvl="0" w:tplc="4F82BE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4D3525"/>
    <w:multiLevelType w:val="hybridMultilevel"/>
    <w:tmpl w:val="2F4A901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5810"/>
    <w:multiLevelType w:val="hybridMultilevel"/>
    <w:tmpl w:val="2DAEC49A"/>
    <w:lvl w:ilvl="0" w:tplc="C2F0200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E0083E"/>
    <w:multiLevelType w:val="hybridMultilevel"/>
    <w:tmpl w:val="3BF81398"/>
    <w:lvl w:ilvl="0" w:tplc="C0A40D6E">
      <w:start w:val="1"/>
      <w:numFmt w:val="upperRoman"/>
      <w:lvlText w:val="%1."/>
      <w:lvlJc w:val="left"/>
      <w:pPr>
        <w:tabs>
          <w:tab w:val="num" w:pos="801"/>
        </w:tabs>
        <w:ind w:left="813" w:hanging="38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D240802">
      <w:start w:val="1"/>
      <w:numFmt w:val="lowerLetter"/>
      <w:lvlText w:val="%2."/>
      <w:lvlJc w:val="left"/>
      <w:pPr>
        <w:tabs>
          <w:tab w:val="left" w:pos="674"/>
          <w:tab w:val="num" w:pos="1416"/>
        </w:tabs>
        <w:ind w:left="1428" w:hanging="34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69C8F2A">
      <w:start w:val="1"/>
      <w:numFmt w:val="lowerRoman"/>
      <w:lvlText w:val="%3."/>
      <w:lvlJc w:val="left"/>
      <w:pPr>
        <w:tabs>
          <w:tab w:val="left" w:pos="674"/>
          <w:tab w:val="num" w:pos="2124"/>
        </w:tabs>
        <w:ind w:left="2136" w:hanging="2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824F178">
      <w:start w:val="1"/>
      <w:numFmt w:val="decimal"/>
      <w:lvlText w:val="%4."/>
      <w:lvlJc w:val="left"/>
      <w:pPr>
        <w:tabs>
          <w:tab w:val="left" w:pos="674"/>
          <w:tab w:val="num" w:pos="2832"/>
        </w:tabs>
        <w:ind w:left="2844" w:hanging="32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186B530">
      <w:start w:val="1"/>
      <w:numFmt w:val="lowerLetter"/>
      <w:lvlText w:val="%5."/>
      <w:lvlJc w:val="left"/>
      <w:pPr>
        <w:tabs>
          <w:tab w:val="left" w:pos="674"/>
          <w:tab w:val="num" w:pos="3540"/>
        </w:tabs>
        <w:ind w:left="3552" w:hanging="3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D3C071A">
      <w:start w:val="1"/>
      <w:numFmt w:val="lowerRoman"/>
      <w:lvlText w:val="%6."/>
      <w:lvlJc w:val="left"/>
      <w:pPr>
        <w:tabs>
          <w:tab w:val="left" w:pos="674"/>
          <w:tab w:val="num" w:pos="4248"/>
        </w:tabs>
        <w:ind w:left="4260" w:hanging="23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0203D04">
      <w:start w:val="1"/>
      <w:numFmt w:val="decimal"/>
      <w:lvlText w:val="%7."/>
      <w:lvlJc w:val="left"/>
      <w:pPr>
        <w:tabs>
          <w:tab w:val="left" w:pos="674"/>
          <w:tab w:val="num" w:pos="4956"/>
        </w:tabs>
        <w:ind w:left="4968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00284EE">
      <w:start w:val="1"/>
      <w:numFmt w:val="lowerLetter"/>
      <w:lvlText w:val="%8."/>
      <w:lvlJc w:val="left"/>
      <w:pPr>
        <w:tabs>
          <w:tab w:val="left" w:pos="674"/>
          <w:tab w:val="num" w:pos="5664"/>
        </w:tabs>
        <w:ind w:left="5676" w:hanging="27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E889C98">
      <w:start w:val="1"/>
      <w:numFmt w:val="lowerRoman"/>
      <w:suff w:val="nothing"/>
      <w:lvlText w:val="%9."/>
      <w:lvlJc w:val="left"/>
      <w:pPr>
        <w:tabs>
          <w:tab w:val="left" w:pos="674"/>
        </w:tabs>
        <w:ind w:left="6330" w:hanging="14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529A1D9F"/>
    <w:multiLevelType w:val="multilevel"/>
    <w:tmpl w:val="38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002F4"/>
    <w:multiLevelType w:val="hybridMultilevel"/>
    <w:tmpl w:val="CDD059FE"/>
    <w:lvl w:ilvl="0" w:tplc="99A2492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965AD5"/>
    <w:multiLevelType w:val="hybridMultilevel"/>
    <w:tmpl w:val="C618042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F41E7"/>
    <w:multiLevelType w:val="hybridMultilevel"/>
    <w:tmpl w:val="19A29DD4"/>
    <w:lvl w:ilvl="0" w:tplc="040C0019">
      <w:start w:val="1"/>
      <w:numFmt w:val="lowerLetter"/>
      <w:lvlText w:val="%1."/>
      <w:lvlJc w:val="left"/>
      <w:pPr>
        <w:ind w:left="1506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55BDA"/>
    <w:multiLevelType w:val="hybridMultilevel"/>
    <w:tmpl w:val="D3E4653A"/>
    <w:numStyleLink w:val="Puces"/>
  </w:abstractNum>
  <w:num w:numId="1">
    <w:abstractNumId w:val="7"/>
  </w:num>
  <w:num w:numId="2">
    <w:abstractNumId w:val="3"/>
  </w:num>
  <w:num w:numId="3">
    <w:abstractNumId w:val="3"/>
    <w:lvlOverride w:ilvl="0">
      <w:lvl w:ilvl="0" w:tplc="5AE8DE0E">
        <w:start w:val="1"/>
        <w:numFmt w:val="upperRoman"/>
        <w:lvlText w:val="%1."/>
        <w:lvlJc w:val="left"/>
        <w:pPr>
          <w:tabs>
            <w:tab w:val="num" w:pos="708"/>
          </w:tabs>
          <w:ind w:left="720" w:hanging="42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6EB71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18175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8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5A2854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FC387C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84C494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5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7A3390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92584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A47464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12" w:hanging="14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6"/>
  </w:num>
  <w:num w:numId="6">
    <w:abstractNumId w:val="3"/>
    <w:lvlOverride w:ilvl="0">
      <w:startOverride w:val="3"/>
      <w:lvl w:ilvl="0" w:tplc="5AE8DE0E">
        <w:start w:val="3"/>
        <w:numFmt w:val="upperRoman"/>
        <w:lvlText w:val="%1."/>
        <w:lvlJc w:val="left"/>
        <w:pPr>
          <w:tabs>
            <w:tab w:val="num" w:pos="708"/>
          </w:tabs>
          <w:ind w:left="720" w:hanging="42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6EB71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18175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8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5A285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FC387C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84C49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5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7A339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92584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A47464">
        <w:start w:val="1"/>
        <w:numFmt w:val="lowerRoman"/>
        <w:suff w:val="nothing"/>
        <w:lvlText w:val="%9."/>
        <w:lvlJc w:val="left"/>
        <w:pPr>
          <w:ind w:left="6312" w:hanging="14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13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92A"/>
    <w:rsid w:val="00001797"/>
    <w:rsid w:val="000039F9"/>
    <w:rsid w:val="00011D32"/>
    <w:rsid w:val="00026281"/>
    <w:rsid w:val="00026672"/>
    <w:rsid w:val="00036ABE"/>
    <w:rsid w:val="00083804"/>
    <w:rsid w:val="00086545"/>
    <w:rsid w:val="00097984"/>
    <w:rsid w:val="000B068B"/>
    <w:rsid w:val="000B08CB"/>
    <w:rsid w:val="000C5757"/>
    <w:rsid w:val="000E3936"/>
    <w:rsid w:val="000E5B52"/>
    <w:rsid w:val="00102833"/>
    <w:rsid w:val="00105529"/>
    <w:rsid w:val="00142F8E"/>
    <w:rsid w:val="001A6767"/>
    <w:rsid w:val="001A67A6"/>
    <w:rsid w:val="001B319C"/>
    <w:rsid w:val="001E062C"/>
    <w:rsid w:val="001F5B74"/>
    <w:rsid w:val="0021442F"/>
    <w:rsid w:val="00217C6F"/>
    <w:rsid w:val="00225CCF"/>
    <w:rsid w:val="002279AC"/>
    <w:rsid w:val="00237925"/>
    <w:rsid w:val="00295576"/>
    <w:rsid w:val="002A6589"/>
    <w:rsid w:val="002B5EE2"/>
    <w:rsid w:val="002C3245"/>
    <w:rsid w:val="002D776F"/>
    <w:rsid w:val="002F688F"/>
    <w:rsid w:val="00307853"/>
    <w:rsid w:val="00325B1F"/>
    <w:rsid w:val="003712FB"/>
    <w:rsid w:val="00387441"/>
    <w:rsid w:val="003C7919"/>
    <w:rsid w:val="003D0809"/>
    <w:rsid w:val="003D3ACA"/>
    <w:rsid w:val="003E2A5A"/>
    <w:rsid w:val="003E492A"/>
    <w:rsid w:val="00431A60"/>
    <w:rsid w:val="004331AC"/>
    <w:rsid w:val="00434577"/>
    <w:rsid w:val="00442D99"/>
    <w:rsid w:val="00455429"/>
    <w:rsid w:val="00467875"/>
    <w:rsid w:val="00473B9F"/>
    <w:rsid w:val="00480C33"/>
    <w:rsid w:val="0048487B"/>
    <w:rsid w:val="004914A0"/>
    <w:rsid w:val="004A34D1"/>
    <w:rsid w:val="004A4F9A"/>
    <w:rsid w:val="004B0530"/>
    <w:rsid w:val="004C6FE3"/>
    <w:rsid w:val="004D70B2"/>
    <w:rsid w:val="004E47B0"/>
    <w:rsid w:val="004F17CD"/>
    <w:rsid w:val="004F4D9F"/>
    <w:rsid w:val="005209DE"/>
    <w:rsid w:val="0053345B"/>
    <w:rsid w:val="005337EC"/>
    <w:rsid w:val="00552D87"/>
    <w:rsid w:val="005564CC"/>
    <w:rsid w:val="00581BBE"/>
    <w:rsid w:val="00590920"/>
    <w:rsid w:val="00593F01"/>
    <w:rsid w:val="005A1B07"/>
    <w:rsid w:val="005C607A"/>
    <w:rsid w:val="005D7C71"/>
    <w:rsid w:val="0060058D"/>
    <w:rsid w:val="00606F1A"/>
    <w:rsid w:val="0064109F"/>
    <w:rsid w:val="00646972"/>
    <w:rsid w:val="00672CA8"/>
    <w:rsid w:val="00674EF6"/>
    <w:rsid w:val="0068412E"/>
    <w:rsid w:val="006900AD"/>
    <w:rsid w:val="0069493C"/>
    <w:rsid w:val="006A626D"/>
    <w:rsid w:val="006A76DB"/>
    <w:rsid w:val="006C15BE"/>
    <w:rsid w:val="006D080B"/>
    <w:rsid w:val="006E6ED8"/>
    <w:rsid w:val="006F460B"/>
    <w:rsid w:val="00725BDD"/>
    <w:rsid w:val="007432DD"/>
    <w:rsid w:val="007C51F7"/>
    <w:rsid w:val="00803B06"/>
    <w:rsid w:val="00813042"/>
    <w:rsid w:val="008161B3"/>
    <w:rsid w:val="00845D6E"/>
    <w:rsid w:val="00891622"/>
    <w:rsid w:val="008968C8"/>
    <w:rsid w:val="008976FF"/>
    <w:rsid w:val="008A7560"/>
    <w:rsid w:val="008B3D4F"/>
    <w:rsid w:val="008D3C14"/>
    <w:rsid w:val="008E036E"/>
    <w:rsid w:val="008E08BC"/>
    <w:rsid w:val="008E3DCB"/>
    <w:rsid w:val="009029C3"/>
    <w:rsid w:val="0091257E"/>
    <w:rsid w:val="00925414"/>
    <w:rsid w:val="00931F1C"/>
    <w:rsid w:val="00997353"/>
    <w:rsid w:val="009A34A8"/>
    <w:rsid w:val="009B4091"/>
    <w:rsid w:val="009E72B0"/>
    <w:rsid w:val="00A04E44"/>
    <w:rsid w:val="00A056B9"/>
    <w:rsid w:val="00A06A3B"/>
    <w:rsid w:val="00A06E37"/>
    <w:rsid w:val="00A307C3"/>
    <w:rsid w:val="00A73ED3"/>
    <w:rsid w:val="00A806FD"/>
    <w:rsid w:val="00AB1B65"/>
    <w:rsid w:val="00AE287C"/>
    <w:rsid w:val="00B44980"/>
    <w:rsid w:val="00B57249"/>
    <w:rsid w:val="00B60E0A"/>
    <w:rsid w:val="00B727A1"/>
    <w:rsid w:val="00BA4FE1"/>
    <w:rsid w:val="00BA5DE0"/>
    <w:rsid w:val="00C063D9"/>
    <w:rsid w:val="00C2175A"/>
    <w:rsid w:val="00C37ADB"/>
    <w:rsid w:val="00C81ABE"/>
    <w:rsid w:val="00CA26F8"/>
    <w:rsid w:val="00CB2B77"/>
    <w:rsid w:val="00CC4588"/>
    <w:rsid w:val="00CE0CE5"/>
    <w:rsid w:val="00CE4562"/>
    <w:rsid w:val="00D12E33"/>
    <w:rsid w:val="00D169D5"/>
    <w:rsid w:val="00D21482"/>
    <w:rsid w:val="00D47358"/>
    <w:rsid w:val="00D92B3E"/>
    <w:rsid w:val="00DA3E4F"/>
    <w:rsid w:val="00DB00A0"/>
    <w:rsid w:val="00DC6A91"/>
    <w:rsid w:val="00DE14E5"/>
    <w:rsid w:val="00DE3DDA"/>
    <w:rsid w:val="00E1279D"/>
    <w:rsid w:val="00E170F9"/>
    <w:rsid w:val="00E17516"/>
    <w:rsid w:val="00E17AE6"/>
    <w:rsid w:val="00E625B2"/>
    <w:rsid w:val="00E75E2F"/>
    <w:rsid w:val="00E7636A"/>
    <w:rsid w:val="00EE0BE9"/>
    <w:rsid w:val="00F00BD3"/>
    <w:rsid w:val="00F03956"/>
    <w:rsid w:val="00F22F94"/>
    <w:rsid w:val="00F30519"/>
    <w:rsid w:val="00F37690"/>
    <w:rsid w:val="00F57B25"/>
    <w:rsid w:val="00F6482A"/>
    <w:rsid w:val="00F9389E"/>
    <w:rsid w:val="00F93E10"/>
    <w:rsid w:val="00FA039F"/>
    <w:rsid w:val="00FD2F8B"/>
    <w:rsid w:val="00FF318B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8E6C860-2C6E-41AF-A46D-5E65CAD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re4">
    <w:name w:val="heading 4"/>
    <w:uiPriority w:val="9"/>
    <w:unhideWhenUsed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3"/>
    </w:pPr>
    <w:rPr>
      <w:rFonts w:ascii="Calibri" w:eastAsia="Calibri" w:hAnsi="Calibri" w:cs="Calibri"/>
      <w:color w:val="000000"/>
      <w:u w:color="000000"/>
      <w:bdr w:val="nil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fr-FR"/>
    </w:rPr>
  </w:style>
  <w:style w:type="paragraph" w:styleId="Pieddepage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 w:eastAsia="fr-FR"/>
    </w:rPr>
  </w:style>
  <w:style w:type="character" w:customStyle="1" w:styleId="Aucun">
    <w:name w:val="Aucun"/>
  </w:style>
  <w:style w:type="paragraph" w:customStyle="1" w:styleId="Corps">
    <w:name w:val="Corps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fr-FR"/>
    </w:rPr>
  </w:style>
  <w:style w:type="character" w:customStyle="1" w:styleId="AucunA">
    <w:name w:val="Aucun A"/>
    <w:basedOn w:val="Aucun"/>
  </w:style>
  <w:style w:type="paragraph" w:styleId="Textebrut">
    <w:name w:val="Plain Text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ourier New" w:hAnsi="Courier New" w:cs="Arial Unicode MS"/>
      <w:color w:val="000000"/>
      <w:u w:color="000000"/>
      <w:bdr w:val="nil"/>
      <w:lang w:val="fr-FR" w:eastAsia="fr-FR"/>
    </w:rPr>
  </w:style>
  <w:style w:type="paragraph" w:styleId="Paragraphedeliste">
    <w:name w:val="List Paragraph"/>
    <w:link w:val="ParagraphedelisteCar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 w:eastAsia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Times New Roman"/>
      <w:color w:val="000000"/>
      <w:u w:color="000000"/>
      <w:bdr w:val="nil"/>
      <w:lang w:val="fr-FR" w:eastAsia="fr-FR"/>
    </w:rPr>
  </w:style>
  <w:style w:type="paragraph" w:customStyle="1" w:styleId="PardfautA">
    <w:name w:val="Par défaut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fr-FR" w:eastAsia="fr-FR"/>
    </w:rPr>
  </w:style>
  <w:style w:type="numbering" w:customStyle="1" w:styleId="Puces">
    <w:name w:val="Puces"/>
    <w:pPr>
      <w:numPr>
        <w:numId w:val="4"/>
      </w:numPr>
    </w:pPr>
  </w:style>
  <w:style w:type="character" w:customStyle="1" w:styleId="Hyperlink0">
    <w:name w:val="Hyperlink.0"/>
    <w:rPr>
      <w:outline w:val="0"/>
      <w:color w:val="007DAD"/>
      <w:u w:val="single" w:color="007DA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9D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279D"/>
    <w:rPr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E127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LU" w:eastAsia="fr-FR"/>
    </w:rPr>
  </w:style>
  <w:style w:type="paragraph" w:styleId="Rvision">
    <w:name w:val="Revision"/>
    <w:hidden/>
    <w:uiPriority w:val="99"/>
    <w:semiHidden/>
    <w:rsid w:val="00E1279D"/>
    <w:rPr>
      <w:sz w:val="24"/>
      <w:szCs w:val="24"/>
      <w:bdr w:val="nil"/>
      <w:lang w:val="en-US" w:eastAsia="en-US"/>
    </w:rPr>
  </w:style>
  <w:style w:type="paragraph" w:customStyle="1" w:styleId="Pa12">
    <w:name w:val="Pa12"/>
    <w:basedOn w:val="Normal"/>
    <w:next w:val="Normal"/>
    <w:uiPriority w:val="99"/>
    <w:rsid w:val="00DE1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Swis721 BT" w:eastAsia="Times New Roman" w:hAnsi="Swis721 BT"/>
      <w:bdr w:val="none" w:sz="0" w:space="0" w:color="auto"/>
      <w:lang w:val="de-LU" w:eastAsia="de-DE"/>
    </w:rPr>
  </w:style>
  <w:style w:type="character" w:customStyle="1" w:styleId="apple-converted-space">
    <w:name w:val="apple-converted-space"/>
    <w:basedOn w:val="Policepardfaut"/>
    <w:rsid w:val="00E17AE6"/>
  </w:style>
  <w:style w:type="paragraph" w:styleId="Notedebasdepage">
    <w:name w:val="footnote text"/>
    <w:basedOn w:val="Normal"/>
    <w:link w:val="NotedebasdepageCar"/>
    <w:uiPriority w:val="99"/>
    <w:unhideWhenUsed/>
    <w:rsid w:val="006949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  <w:lang w:val="fr-LU"/>
    </w:rPr>
  </w:style>
  <w:style w:type="character" w:customStyle="1" w:styleId="NotedebasdepageCar">
    <w:name w:val="Note de bas de page Car"/>
    <w:link w:val="Notedebasdepage"/>
    <w:uiPriority w:val="99"/>
    <w:rsid w:val="0069493C"/>
    <w:rPr>
      <w:rFonts w:ascii="Calibri" w:eastAsia="Calibri" w:hAnsi="Calibri"/>
      <w:bdr w:val="none" w:sz="0" w:space="0" w:color="auto"/>
      <w:lang w:eastAsia="en-US"/>
    </w:rPr>
  </w:style>
  <w:style w:type="character" w:styleId="Appelnotedebasdep">
    <w:name w:val="footnote reference"/>
    <w:aliases w:val="Footnote symbol"/>
    <w:uiPriority w:val="99"/>
    <w:unhideWhenUsed/>
    <w:rsid w:val="0069493C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3345B"/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character" w:customStyle="1" w:styleId="st">
    <w:name w:val="st"/>
    <w:rsid w:val="0053345B"/>
  </w:style>
  <w:style w:type="character" w:styleId="Accentuation">
    <w:name w:val="Emphasis"/>
    <w:uiPriority w:val="20"/>
    <w:qFormat/>
    <w:rsid w:val="0053345B"/>
    <w:rPr>
      <w:i/>
      <w:iCs/>
    </w:rPr>
  </w:style>
  <w:style w:type="table" w:styleId="Grilledutableau">
    <w:name w:val="Table Grid"/>
    <w:basedOn w:val="TableauNormal"/>
    <w:uiPriority w:val="39"/>
    <w:rsid w:val="0043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de la Constitution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 xsi:nil="true"/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35809B-A72B-4579-B134-BF381F629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CC91E-5648-4C05-972F-58611223B1EA}"/>
</file>

<file path=customXml/itemProps3.xml><?xml version="1.0" encoding="utf-8"?>
<ds:datastoreItem xmlns:ds="http://schemas.openxmlformats.org/officeDocument/2006/customXml" ds:itemID="{F47F1AD6-6379-4D20-88FF-34D7D853856C}"/>
</file>

<file path=customXml/itemProps4.xml><?xml version="1.0" encoding="utf-8"?>
<ds:datastoreItem xmlns:ds="http://schemas.openxmlformats.org/officeDocument/2006/customXml" ds:itemID="{6A6F1839-7458-4AAE-B6BE-8D7200383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3608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Jean-Claude Neu</dc:creator>
  <cp:keywords/>
  <cp:lastModifiedBy>SYSTEM</cp:lastModifiedBy>
  <cp:revision>2</cp:revision>
  <cp:lastPrinted>2021-09-13T15:12:00Z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