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92A" w:rsidRPr="003C0BF6" w:rsidRDefault="003E492A" w:rsidP="00E1279D">
      <w:pPr>
        <w:pStyle w:val="Corps"/>
        <w:spacing w:after="0" w:line="240" w:lineRule="auto"/>
        <w:jc w:val="both"/>
        <w:rPr>
          <w:rStyle w:val="Aucun"/>
          <w:rFonts w:ascii="Arial" w:hAnsi="Arial" w:cs="Arial"/>
          <w:color w:val="auto"/>
          <w:u w:color="FF0000"/>
          <w:lang w:val="fr-FR"/>
        </w:rPr>
      </w:pPr>
      <w:bookmarkStart w:id="0" w:name="_GoBack"/>
      <w:bookmarkEnd w:id="0"/>
    </w:p>
    <w:p w:rsidR="000B068B" w:rsidRPr="003C0BF6" w:rsidRDefault="000B068B" w:rsidP="00E1279D">
      <w:pPr>
        <w:pStyle w:val="Corps"/>
        <w:spacing w:after="0" w:line="240" w:lineRule="auto"/>
        <w:jc w:val="both"/>
        <w:rPr>
          <w:rStyle w:val="Aucun"/>
          <w:rFonts w:ascii="Arial" w:hAnsi="Arial" w:cs="Arial"/>
          <w:color w:val="auto"/>
          <w:u w:color="FF0000"/>
          <w:lang w:val="fr-FR"/>
        </w:rPr>
      </w:pPr>
    </w:p>
    <w:p w:rsidR="003E492A" w:rsidRPr="003C0BF6" w:rsidRDefault="00434577" w:rsidP="00E1279D">
      <w:pPr>
        <w:pStyle w:val="Corps"/>
        <w:spacing w:after="0" w:line="240" w:lineRule="auto"/>
        <w:jc w:val="center"/>
        <w:rPr>
          <w:rStyle w:val="Aucun"/>
          <w:rFonts w:ascii="Arial" w:hAnsi="Arial" w:cs="Arial"/>
          <w:b/>
          <w:bCs/>
          <w:lang w:val="fr-FR"/>
        </w:rPr>
      </w:pPr>
      <w:r w:rsidRPr="003C0BF6">
        <w:rPr>
          <w:rStyle w:val="Aucun"/>
          <w:rFonts w:ascii="Arial" w:hAnsi="Arial" w:cs="Arial"/>
          <w:b/>
          <w:bCs/>
          <w:lang w:val="fr-FR"/>
        </w:rPr>
        <w:t>N</w:t>
      </w:r>
      <w:r w:rsidRPr="003C0BF6">
        <w:rPr>
          <w:rStyle w:val="Aucun"/>
          <w:rFonts w:ascii="Arial" w:hAnsi="Arial" w:cs="Arial"/>
          <w:b/>
          <w:bCs/>
          <w:vertAlign w:val="superscript"/>
          <w:lang w:val="fr-FR"/>
        </w:rPr>
        <w:t>o</w:t>
      </w:r>
      <w:r w:rsidRPr="003C0BF6">
        <w:rPr>
          <w:rStyle w:val="Aucun"/>
          <w:rFonts w:ascii="Arial" w:hAnsi="Arial" w:cs="Arial"/>
          <w:b/>
          <w:bCs/>
          <w:lang w:val="fr-FR"/>
        </w:rPr>
        <w:t xml:space="preserve"> 7</w:t>
      </w:r>
      <w:r w:rsidR="00E1279D" w:rsidRPr="003C0BF6">
        <w:rPr>
          <w:rStyle w:val="Aucun"/>
          <w:rFonts w:ascii="Arial" w:hAnsi="Arial" w:cs="Arial"/>
          <w:b/>
          <w:bCs/>
          <w:lang w:val="fr-FR"/>
        </w:rPr>
        <w:t>550</w:t>
      </w:r>
    </w:p>
    <w:p w:rsidR="003E492A" w:rsidRPr="003C0BF6" w:rsidRDefault="003E492A" w:rsidP="00E1279D">
      <w:pPr>
        <w:pStyle w:val="Corps"/>
        <w:tabs>
          <w:tab w:val="left" w:pos="4111"/>
          <w:tab w:val="left" w:pos="4536"/>
          <w:tab w:val="left" w:pos="4678"/>
        </w:tabs>
        <w:spacing w:after="0" w:line="240" w:lineRule="auto"/>
        <w:jc w:val="center"/>
        <w:rPr>
          <w:rStyle w:val="Aucun"/>
          <w:rFonts w:ascii="Arial" w:eastAsia="Arial" w:hAnsi="Arial" w:cs="Arial"/>
          <w:b/>
          <w:bCs/>
          <w:lang w:val="fr-FR"/>
        </w:rPr>
      </w:pPr>
    </w:p>
    <w:p w:rsidR="003E492A" w:rsidRPr="003C0BF6" w:rsidRDefault="00434577" w:rsidP="00E1279D">
      <w:pPr>
        <w:pStyle w:val="Corps"/>
        <w:spacing w:after="0" w:line="240" w:lineRule="auto"/>
        <w:jc w:val="center"/>
        <w:rPr>
          <w:rStyle w:val="Aucun"/>
          <w:rFonts w:ascii="Arial" w:hAnsi="Arial" w:cs="Arial"/>
          <w:lang w:val="fr-FR"/>
        </w:rPr>
      </w:pPr>
      <w:r w:rsidRPr="003C0BF6">
        <w:rPr>
          <w:rStyle w:val="Aucun"/>
          <w:rFonts w:ascii="Arial" w:hAnsi="Arial" w:cs="Arial"/>
          <w:lang w:val="fr-FR"/>
        </w:rPr>
        <w:t>CHAMBRE DES DEPUTES</w:t>
      </w:r>
    </w:p>
    <w:p w:rsidR="003E492A" w:rsidRPr="003C0BF6" w:rsidRDefault="00434577" w:rsidP="00E1279D">
      <w:pPr>
        <w:pStyle w:val="Corps"/>
        <w:spacing w:after="0" w:line="240" w:lineRule="auto"/>
        <w:jc w:val="center"/>
        <w:rPr>
          <w:rStyle w:val="Aucun"/>
          <w:rFonts w:ascii="Arial" w:hAnsi="Arial" w:cs="Arial"/>
          <w:lang w:val="fr-FR"/>
        </w:rPr>
      </w:pPr>
      <w:r w:rsidRPr="003C0BF6">
        <w:rPr>
          <w:rStyle w:val="Aucun"/>
          <w:rFonts w:ascii="Arial" w:hAnsi="Arial" w:cs="Arial"/>
          <w:lang w:val="fr-FR"/>
        </w:rPr>
        <w:t>Session ordinaire 2019- 2020</w:t>
      </w:r>
    </w:p>
    <w:p w:rsidR="003E492A" w:rsidRPr="003C0BF6" w:rsidRDefault="003E492A" w:rsidP="00E1279D">
      <w:pPr>
        <w:pStyle w:val="Corps"/>
        <w:pBdr>
          <w:bottom w:val="single" w:sz="12" w:space="0" w:color="000000"/>
        </w:pBdr>
        <w:spacing w:after="0" w:line="240" w:lineRule="auto"/>
        <w:jc w:val="center"/>
        <w:rPr>
          <w:rStyle w:val="Aucun"/>
          <w:rFonts w:ascii="Arial" w:eastAsia="Arial" w:hAnsi="Arial" w:cs="Arial"/>
          <w:lang w:val="fr-FR"/>
        </w:rPr>
      </w:pPr>
    </w:p>
    <w:p w:rsidR="003E492A" w:rsidRPr="003C0BF6" w:rsidRDefault="003E492A" w:rsidP="00E1279D">
      <w:pPr>
        <w:pStyle w:val="Corps"/>
        <w:spacing w:after="0" w:line="240" w:lineRule="auto"/>
        <w:jc w:val="center"/>
        <w:rPr>
          <w:rStyle w:val="AucunA"/>
          <w:rFonts w:ascii="Arial" w:eastAsia="Arial" w:hAnsi="Arial" w:cs="Arial"/>
          <w:lang w:val="fr-FR"/>
        </w:rPr>
      </w:pPr>
    </w:p>
    <w:p w:rsidR="003E492A" w:rsidRPr="003C0BF6" w:rsidRDefault="003E492A" w:rsidP="00E1279D">
      <w:pPr>
        <w:pStyle w:val="Corps"/>
        <w:spacing w:after="0" w:line="240" w:lineRule="auto"/>
        <w:jc w:val="center"/>
        <w:rPr>
          <w:rStyle w:val="AucunA"/>
          <w:rFonts w:ascii="Arial" w:eastAsia="Arial" w:hAnsi="Arial" w:cs="Arial"/>
          <w:lang w:val="fr-FR"/>
        </w:rPr>
      </w:pPr>
    </w:p>
    <w:p w:rsidR="00DF56EB" w:rsidRPr="003C0BF6" w:rsidRDefault="00DF56EB" w:rsidP="00E1279D">
      <w:pPr>
        <w:pStyle w:val="NormalWeb"/>
        <w:spacing w:before="0" w:beforeAutospacing="0" w:after="0" w:afterAutospacing="0"/>
        <w:jc w:val="center"/>
        <w:rPr>
          <w:rFonts w:ascii="Arial" w:hAnsi="Arial" w:cs="Arial"/>
          <w:b/>
          <w:bCs/>
          <w:sz w:val="22"/>
          <w:szCs w:val="22"/>
          <w:lang w:val="fr-FR"/>
        </w:rPr>
      </w:pPr>
    </w:p>
    <w:p w:rsidR="00DF56EB" w:rsidRPr="003C0BF6" w:rsidRDefault="00DF56EB" w:rsidP="00DF56EB">
      <w:pPr>
        <w:widowControl w:val="0"/>
        <w:tabs>
          <w:tab w:val="left" w:pos="5245"/>
        </w:tabs>
        <w:ind w:left="567"/>
        <w:jc w:val="center"/>
        <w:rPr>
          <w:rFonts w:ascii="Arial" w:hAnsi="Arial" w:cs="Arial"/>
          <w:b/>
          <w:sz w:val="22"/>
          <w:szCs w:val="22"/>
        </w:rPr>
      </w:pPr>
      <w:r w:rsidRPr="003C0BF6">
        <w:rPr>
          <w:rFonts w:ascii="Arial" w:hAnsi="Arial" w:cs="Arial"/>
          <w:b/>
          <w:sz w:val="22"/>
          <w:szCs w:val="22"/>
        </w:rPr>
        <w:t xml:space="preserve">Projet de loi </w:t>
      </w:r>
    </w:p>
    <w:p w:rsidR="00DF56EB" w:rsidRPr="003C0BF6" w:rsidRDefault="00DF56EB" w:rsidP="00DF56EB">
      <w:pPr>
        <w:widowControl w:val="0"/>
        <w:tabs>
          <w:tab w:val="left" w:pos="5245"/>
        </w:tabs>
        <w:ind w:left="567"/>
        <w:jc w:val="center"/>
        <w:rPr>
          <w:rFonts w:ascii="Arial" w:hAnsi="Arial" w:cs="Arial"/>
          <w:b/>
          <w:sz w:val="22"/>
          <w:szCs w:val="22"/>
        </w:rPr>
      </w:pPr>
      <w:r w:rsidRPr="003C0BF6">
        <w:rPr>
          <w:rFonts w:ascii="Arial" w:hAnsi="Arial" w:cs="Arial"/>
          <w:b/>
          <w:sz w:val="22"/>
          <w:szCs w:val="22"/>
        </w:rPr>
        <w:t>portant report des dates limites relatives à l’exercice comptable 2019, telles que prévues aux articles 12 et 16 de la loi modifiée du 21 décembre 2007 portant réglementation du financement des partis politiques pour la durée de l’état de crise</w:t>
      </w:r>
    </w:p>
    <w:p w:rsidR="00DF56EB" w:rsidRPr="003C0BF6" w:rsidRDefault="00DF56EB" w:rsidP="00E1279D">
      <w:pPr>
        <w:pStyle w:val="NormalWeb"/>
        <w:spacing w:before="0" w:beforeAutospacing="0" w:after="0" w:afterAutospacing="0"/>
        <w:jc w:val="center"/>
        <w:rPr>
          <w:rFonts w:ascii="Arial" w:hAnsi="Arial" w:cs="Arial"/>
          <w:b/>
          <w:bCs/>
          <w:sz w:val="22"/>
          <w:szCs w:val="22"/>
          <w:lang w:val="fr-FR"/>
        </w:rPr>
      </w:pPr>
    </w:p>
    <w:p w:rsidR="00631633" w:rsidRPr="003C0BF6" w:rsidRDefault="00631633" w:rsidP="00E1279D">
      <w:pPr>
        <w:pStyle w:val="NormalWeb"/>
        <w:spacing w:before="0" w:beforeAutospacing="0" w:after="0" w:afterAutospacing="0"/>
        <w:jc w:val="center"/>
        <w:rPr>
          <w:rFonts w:ascii="Arial" w:hAnsi="Arial" w:cs="Arial"/>
          <w:sz w:val="22"/>
          <w:szCs w:val="22"/>
          <w:lang w:val="fr-FR"/>
        </w:rPr>
      </w:pPr>
    </w:p>
    <w:p w:rsidR="003E492A" w:rsidRPr="003C0BF6" w:rsidRDefault="00434577" w:rsidP="00E1279D">
      <w:pPr>
        <w:pStyle w:val="Corps"/>
        <w:spacing w:after="0" w:line="240" w:lineRule="auto"/>
        <w:jc w:val="center"/>
        <w:rPr>
          <w:rStyle w:val="Aucun"/>
          <w:rFonts w:ascii="Arial" w:hAnsi="Arial" w:cs="Arial"/>
          <w:lang w:val="fr-FR"/>
        </w:rPr>
      </w:pPr>
      <w:r w:rsidRPr="003C0BF6">
        <w:rPr>
          <w:rStyle w:val="Aucun"/>
          <w:rFonts w:ascii="Arial" w:hAnsi="Arial" w:cs="Arial"/>
          <w:lang w:val="fr-FR"/>
        </w:rPr>
        <w:t>***</w:t>
      </w:r>
    </w:p>
    <w:p w:rsidR="003E492A" w:rsidRPr="003C0BF6" w:rsidRDefault="003E492A" w:rsidP="00E1279D">
      <w:pPr>
        <w:pStyle w:val="Corps"/>
        <w:spacing w:after="0" w:line="240" w:lineRule="auto"/>
        <w:jc w:val="center"/>
        <w:rPr>
          <w:rStyle w:val="Aucun"/>
          <w:rFonts w:ascii="Arial" w:hAnsi="Arial" w:cs="Arial"/>
          <w:b/>
          <w:bCs/>
          <w:color w:val="FF0000"/>
          <w:u w:color="FF0000"/>
          <w:lang w:val="fr-FR"/>
        </w:rPr>
      </w:pPr>
    </w:p>
    <w:p w:rsidR="003E492A" w:rsidRPr="003C0BF6" w:rsidRDefault="00650B65" w:rsidP="00E1279D">
      <w:pPr>
        <w:pStyle w:val="Corps"/>
        <w:spacing w:after="0" w:line="240" w:lineRule="auto"/>
        <w:jc w:val="center"/>
        <w:rPr>
          <w:rStyle w:val="Aucun"/>
          <w:rFonts w:ascii="Arial" w:hAnsi="Arial" w:cs="Arial"/>
          <w:color w:val="auto"/>
          <w:u w:color="FF0000"/>
          <w:lang w:val="fr-FR"/>
        </w:rPr>
      </w:pPr>
      <w:r>
        <w:rPr>
          <w:rStyle w:val="Aucun"/>
          <w:rFonts w:ascii="Arial" w:hAnsi="Arial" w:cs="Arial"/>
          <w:b/>
          <w:bCs/>
          <w:lang w:val="fr-FR"/>
        </w:rPr>
        <w:t>R</w:t>
      </w:r>
      <w:r w:rsidR="00AC4965">
        <w:rPr>
          <w:rStyle w:val="Aucun"/>
          <w:rFonts w:ascii="Arial" w:hAnsi="Arial" w:cs="Arial"/>
          <w:b/>
          <w:bCs/>
          <w:lang w:val="fr-FR"/>
        </w:rPr>
        <w:t>ésumé</w:t>
      </w:r>
    </w:p>
    <w:p w:rsidR="003E492A" w:rsidRPr="003C0BF6" w:rsidRDefault="003E492A" w:rsidP="00E1279D">
      <w:pPr>
        <w:pStyle w:val="Corps"/>
        <w:spacing w:after="0" w:line="240" w:lineRule="auto"/>
        <w:jc w:val="center"/>
        <w:rPr>
          <w:rStyle w:val="Aucun"/>
          <w:rFonts w:ascii="Arial" w:eastAsia="Arial" w:hAnsi="Arial" w:cs="Arial"/>
          <w:lang w:val="fr-FR"/>
        </w:rPr>
      </w:pPr>
    </w:p>
    <w:p w:rsidR="003E492A" w:rsidRPr="003C0BF6" w:rsidRDefault="003E492A" w:rsidP="00E1279D">
      <w:pPr>
        <w:pStyle w:val="Paragraphedeliste"/>
        <w:spacing w:after="0" w:line="240" w:lineRule="auto"/>
        <w:ind w:left="12" w:hanging="12"/>
        <w:jc w:val="both"/>
        <w:rPr>
          <w:rStyle w:val="AucunA"/>
          <w:rFonts w:ascii="Arial" w:hAnsi="Arial" w:cs="Arial"/>
          <w:b/>
          <w:bCs/>
        </w:rPr>
      </w:pPr>
    </w:p>
    <w:p w:rsidR="00CA26F8" w:rsidRPr="003C0BF6" w:rsidRDefault="00CA26F8" w:rsidP="00CA26F8">
      <w:pPr>
        <w:widowControl w:val="0"/>
        <w:autoSpaceDE w:val="0"/>
        <w:autoSpaceDN w:val="0"/>
        <w:adjustRightInd w:val="0"/>
        <w:jc w:val="both"/>
        <w:rPr>
          <w:rFonts w:ascii="Arial" w:hAnsi="Arial" w:cs="Arial"/>
          <w:color w:val="000000"/>
          <w:sz w:val="22"/>
          <w:szCs w:val="22"/>
          <w:lang w:val="fr-FR"/>
        </w:rPr>
      </w:pPr>
      <w:r w:rsidRPr="003C0BF6">
        <w:rPr>
          <w:rFonts w:ascii="Arial" w:hAnsi="Arial" w:cs="Arial"/>
          <w:color w:val="000000"/>
          <w:sz w:val="22"/>
          <w:szCs w:val="22"/>
          <w:lang w:val="fr-FR"/>
        </w:rPr>
        <w:t>Le présent projet de loi, qui s'inscrit dans le cadre de la déclaration de l'état de crise du 18 mars 20</w:t>
      </w:r>
      <w:r w:rsidR="001321A0" w:rsidRPr="003C0BF6">
        <w:rPr>
          <w:rFonts w:ascii="Arial" w:hAnsi="Arial" w:cs="Arial"/>
          <w:color w:val="000000"/>
          <w:sz w:val="22"/>
          <w:szCs w:val="22"/>
          <w:lang w:val="fr-FR"/>
        </w:rPr>
        <w:t>20</w:t>
      </w:r>
      <w:r w:rsidRPr="003C0BF6">
        <w:rPr>
          <w:rFonts w:ascii="Arial" w:hAnsi="Arial" w:cs="Arial"/>
          <w:color w:val="000000"/>
          <w:sz w:val="22"/>
          <w:szCs w:val="22"/>
          <w:lang w:val="fr-FR"/>
        </w:rPr>
        <w:t xml:space="preserve"> et de la lutte contre le Covid-19, a pour objet d'introduire certaines dérogations temporaires aux dispositions prévues par la loi modifiée du 21 décembre 2007 portant réglementation du financement des partis politiques (la </w:t>
      </w:r>
      <w:r w:rsidR="001321A0" w:rsidRPr="003C0BF6">
        <w:rPr>
          <w:rFonts w:ascii="Arial" w:hAnsi="Arial" w:cs="Arial"/>
          <w:color w:val="000000"/>
          <w:sz w:val="22"/>
          <w:szCs w:val="22"/>
          <w:lang w:val="fr-FR"/>
        </w:rPr>
        <w:t>« </w:t>
      </w:r>
      <w:r w:rsidRPr="003C0BF6">
        <w:rPr>
          <w:rFonts w:ascii="Arial" w:hAnsi="Arial" w:cs="Arial"/>
          <w:color w:val="000000"/>
          <w:sz w:val="22"/>
          <w:szCs w:val="22"/>
          <w:lang w:val="fr-FR"/>
        </w:rPr>
        <w:t>Loi de 2007</w:t>
      </w:r>
      <w:r w:rsidR="001321A0" w:rsidRPr="003C0BF6">
        <w:rPr>
          <w:rFonts w:ascii="Arial" w:hAnsi="Arial" w:cs="Arial"/>
          <w:color w:val="000000"/>
          <w:sz w:val="22"/>
          <w:szCs w:val="22"/>
          <w:lang w:val="fr-FR"/>
        </w:rPr>
        <w:t> »</w:t>
      </w:r>
      <w:r w:rsidRPr="003C0BF6">
        <w:rPr>
          <w:rFonts w:ascii="Arial" w:hAnsi="Arial" w:cs="Arial"/>
          <w:color w:val="000000"/>
          <w:sz w:val="22"/>
          <w:szCs w:val="22"/>
          <w:lang w:val="fr-FR"/>
        </w:rPr>
        <w:t>).</w:t>
      </w:r>
    </w:p>
    <w:p w:rsidR="00CA26F8" w:rsidRPr="003C0BF6" w:rsidRDefault="00CA26F8" w:rsidP="00CA26F8">
      <w:pPr>
        <w:widowControl w:val="0"/>
        <w:autoSpaceDE w:val="0"/>
        <w:autoSpaceDN w:val="0"/>
        <w:adjustRightInd w:val="0"/>
        <w:jc w:val="both"/>
        <w:rPr>
          <w:rFonts w:ascii="Arial" w:hAnsi="Arial" w:cs="Arial"/>
          <w:color w:val="000000"/>
          <w:sz w:val="22"/>
          <w:szCs w:val="22"/>
          <w:lang w:val="fr-FR"/>
        </w:rPr>
      </w:pPr>
    </w:p>
    <w:p w:rsidR="00CA26F8" w:rsidRPr="003C0BF6" w:rsidRDefault="00CA26F8" w:rsidP="00CA26F8">
      <w:pPr>
        <w:widowControl w:val="0"/>
        <w:autoSpaceDE w:val="0"/>
        <w:autoSpaceDN w:val="0"/>
        <w:adjustRightInd w:val="0"/>
        <w:jc w:val="both"/>
        <w:rPr>
          <w:rFonts w:ascii="Arial" w:hAnsi="Arial" w:cs="Arial"/>
          <w:color w:val="000000"/>
          <w:sz w:val="22"/>
          <w:szCs w:val="22"/>
          <w:lang w:val="fr-FR"/>
        </w:rPr>
      </w:pPr>
      <w:r w:rsidRPr="003C0BF6">
        <w:rPr>
          <w:rFonts w:ascii="Arial" w:hAnsi="Arial" w:cs="Arial"/>
          <w:color w:val="000000"/>
          <w:sz w:val="22"/>
          <w:szCs w:val="22"/>
          <w:lang w:val="fr-FR"/>
        </w:rPr>
        <w:t>En effet, les articles 12 et 14 de la Loi de 2007 prévoient que les structures centrales des partis politiques sont tenues d’arrêter chaque année, avant le 1</w:t>
      </w:r>
      <w:r w:rsidRPr="003C0BF6">
        <w:rPr>
          <w:rFonts w:ascii="Arial" w:hAnsi="Arial" w:cs="Arial"/>
          <w:color w:val="000000"/>
          <w:sz w:val="22"/>
          <w:szCs w:val="22"/>
          <w:vertAlign w:val="superscript"/>
          <w:lang w:val="fr-FR"/>
        </w:rPr>
        <w:t>er</w:t>
      </w:r>
      <w:r w:rsidRPr="003C0BF6">
        <w:rPr>
          <w:rFonts w:ascii="Arial" w:hAnsi="Arial" w:cs="Arial"/>
          <w:color w:val="000000"/>
          <w:sz w:val="22"/>
          <w:szCs w:val="22"/>
          <w:lang w:val="fr-FR"/>
        </w:rPr>
        <w:t xml:space="preserve"> juillet, leurs comptes pour l’exercice comptable passé et de les déposer, avec la liste des donateurs, auprès du Ministère d’Etat et du Président de la Chambre des Députés dans le mois qui suit leur arrêt. L’article 16 de la même loi prévoit que la Cour des comptes, chargée de la vérification des comptes, adresse, jusqu’au 31 décembre de l’année suivant l’exercice contrôlé, ses observations, son rapport et, le cas échéant, les réponses des partis politiques concernés, au Président de la Chambre des Députés.</w:t>
      </w:r>
    </w:p>
    <w:p w:rsidR="00CA26F8" w:rsidRPr="003C0BF6" w:rsidRDefault="00CA26F8" w:rsidP="00CA26F8">
      <w:pPr>
        <w:widowControl w:val="0"/>
        <w:autoSpaceDE w:val="0"/>
        <w:autoSpaceDN w:val="0"/>
        <w:adjustRightInd w:val="0"/>
        <w:jc w:val="both"/>
        <w:rPr>
          <w:rFonts w:ascii="Arial" w:hAnsi="Arial" w:cs="Arial"/>
          <w:color w:val="000000"/>
          <w:sz w:val="22"/>
          <w:szCs w:val="22"/>
          <w:lang w:val="fr-FR"/>
        </w:rPr>
      </w:pPr>
    </w:p>
    <w:p w:rsidR="00CA26F8" w:rsidRPr="003C0BF6" w:rsidRDefault="00CA26F8" w:rsidP="00CA26F8">
      <w:pPr>
        <w:widowControl w:val="0"/>
        <w:autoSpaceDE w:val="0"/>
        <w:autoSpaceDN w:val="0"/>
        <w:adjustRightInd w:val="0"/>
        <w:jc w:val="both"/>
        <w:rPr>
          <w:rFonts w:ascii="Arial" w:hAnsi="Arial" w:cs="Arial"/>
          <w:color w:val="000000"/>
          <w:sz w:val="22"/>
          <w:szCs w:val="22"/>
          <w:lang w:val="fr-FR"/>
        </w:rPr>
      </w:pPr>
      <w:r w:rsidRPr="003C0BF6">
        <w:rPr>
          <w:rFonts w:ascii="Arial" w:hAnsi="Arial" w:cs="Arial"/>
          <w:color w:val="000000"/>
          <w:sz w:val="22"/>
          <w:szCs w:val="22"/>
          <w:lang w:val="fr-FR"/>
        </w:rPr>
        <w:t xml:space="preserve">Au vu des difficultés causées par la crise sanitaire liée au Covid-19, les auteurs du projet de loi ont jugé opportun de </w:t>
      </w:r>
      <w:r w:rsidR="00777A17">
        <w:rPr>
          <w:rFonts w:ascii="Arial" w:hAnsi="Arial" w:cs="Arial"/>
          <w:color w:val="000000"/>
          <w:sz w:val="22"/>
          <w:szCs w:val="22"/>
          <w:lang w:val="fr-FR"/>
        </w:rPr>
        <w:t>reporter les dates limites</w:t>
      </w:r>
      <w:r w:rsidRPr="003C0BF6">
        <w:rPr>
          <w:rFonts w:ascii="Arial" w:hAnsi="Arial" w:cs="Arial"/>
          <w:color w:val="000000"/>
          <w:sz w:val="22"/>
          <w:szCs w:val="22"/>
          <w:lang w:val="fr-FR"/>
        </w:rPr>
        <w:t xml:space="preserve"> relatifs à l’exercice comptable 2019 pendant l’état de crise. Il y a en effet lieu d'anticiper des difficultés significatives tant au niveau de la comptabilité au sein des partis politiques ou, le cas échéant, de leurs prestataires externes (notamment leurs comptables ou experts-comptables), que des organes du parti politique en</w:t>
      </w:r>
      <w:r w:rsidR="001321A0" w:rsidRPr="003C0BF6">
        <w:rPr>
          <w:rFonts w:ascii="Arial" w:hAnsi="Arial" w:cs="Arial"/>
          <w:color w:val="000000"/>
          <w:sz w:val="22"/>
          <w:szCs w:val="22"/>
          <w:lang w:val="fr-FR"/>
        </w:rPr>
        <w:t xml:space="preserve"> </w:t>
      </w:r>
      <w:r w:rsidRPr="003C0BF6">
        <w:rPr>
          <w:rFonts w:ascii="Arial" w:hAnsi="Arial" w:cs="Arial"/>
          <w:color w:val="000000"/>
          <w:sz w:val="22"/>
          <w:szCs w:val="22"/>
          <w:lang w:val="fr-FR"/>
        </w:rPr>
        <w:t>charge de l'arrêté et de l'approbation des comptes. Certains partis ont entretemps</w:t>
      </w:r>
      <w:r w:rsidR="001321A0" w:rsidRPr="003C0BF6">
        <w:rPr>
          <w:rFonts w:ascii="Arial" w:hAnsi="Arial" w:cs="Arial"/>
          <w:color w:val="000000"/>
          <w:sz w:val="22"/>
          <w:szCs w:val="22"/>
          <w:lang w:val="fr-FR"/>
        </w:rPr>
        <w:t xml:space="preserve"> dû</w:t>
      </w:r>
      <w:r w:rsidRPr="003C0BF6">
        <w:rPr>
          <w:rFonts w:ascii="Arial" w:hAnsi="Arial" w:cs="Arial"/>
          <w:color w:val="000000"/>
          <w:sz w:val="22"/>
          <w:szCs w:val="22"/>
          <w:lang w:val="fr-FR"/>
        </w:rPr>
        <w:t xml:space="preserve"> reporter leurs congrès, suite aux mesures préventives décidées dans le cadre de la crise. </w:t>
      </w:r>
    </w:p>
    <w:p w:rsidR="00CA26F8" w:rsidRPr="003C0BF6" w:rsidRDefault="00CA26F8" w:rsidP="00CA26F8">
      <w:pPr>
        <w:widowControl w:val="0"/>
        <w:autoSpaceDE w:val="0"/>
        <w:autoSpaceDN w:val="0"/>
        <w:adjustRightInd w:val="0"/>
        <w:jc w:val="both"/>
        <w:rPr>
          <w:rFonts w:ascii="Arial" w:hAnsi="Arial" w:cs="Arial"/>
          <w:color w:val="000000"/>
          <w:sz w:val="22"/>
          <w:szCs w:val="22"/>
          <w:lang w:val="fr-FR"/>
        </w:rPr>
      </w:pPr>
      <w:r w:rsidRPr="003C0BF6">
        <w:rPr>
          <w:rFonts w:ascii="Arial" w:hAnsi="Arial" w:cs="Arial"/>
          <w:color w:val="000000"/>
          <w:sz w:val="22"/>
          <w:szCs w:val="22"/>
          <w:lang w:val="fr-FR"/>
        </w:rPr>
        <w:t>Dans ce contexte, maintenir les délais d’arrêté et de dépôt usuels n'apparaît pas raisonnable et exposerait les partis politiques à une responsabilité et à des mesures administratives qui ne sont pas en adéquation avec les circonstances exceptionnelles que traverse actuellement le pays.</w:t>
      </w:r>
    </w:p>
    <w:p w:rsidR="00CA26F8" w:rsidRPr="003C0BF6" w:rsidRDefault="00CA26F8" w:rsidP="00CA26F8">
      <w:pPr>
        <w:widowControl w:val="0"/>
        <w:autoSpaceDE w:val="0"/>
        <w:autoSpaceDN w:val="0"/>
        <w:adjustRightInd w:val="0"/>
        <w:jc w:val="both"/>
        <w:rPr>
          <w:rFonts w:ascii="Arial" w:hAnsi="Arial" w:cs="Arial"/>
          <w:color w:val="000000"/>
          <w:sz w:val="22"/>
          <w:szCs w:val="22"/>
          <w:lang w:val="fr-FR"/>
        </w:rPr>
      </w:pPr>
    </w:p>
    <w:p w:rsidR="007D1FB1" w:rsidRDefault="00CA26F8" w:rsidP="00366D16">
      <w:pPr>
        <w:rPr>
          <w:rFonts w:ascii="Arial" w:hAnsi="Arial" w:cs="Arial"/>
          <w:sz w:val="22"/>
          <w:szCs w:val="22"/>
        </w:rPr>
      </w:pPr>
      <w:r w:rsidRPr="003C0BF6">
        <w:rPr>
          <w:rFonts w:ascii="Arial" w:hAnsi="Arial" w:cs="Arial"/>
          <w:color w:val="000000"/>
          <w:sz w:val="22"/>
          <w:szCs w:val="22"/>
          <w:lang w:val="fr-FR"/>
        </w:rPr>
        <w:t xml:space="preserve">Le projet de loi sous examen a donc pour objet de créer une sécurité juridique pour les partis politiques, en </w:t>
      </w:r>
      <w:r w:rsidR="00777A17">
        <w:rPr>
          <w:rFonts w:ascii="Arial" w:hAnsi="Arial" w:cs="Arial"/>
          <w:color w:val="000000"/>
          <w:sz w:val="22"/>
          <w:szCs w:val="22"/>
          <w:lang w:val="fr-FR"/>
        </w:rPr>
        <w:t xml:space="preserve">reportant </w:t>
      </w:r>
      <w:r w:rsidRPr="003C0BF6">
        <w:rPr>
          <w:rFonts w:ascii="Arial" w:hAnsi="Arial" w:cs="Arial"/>
          <w:color w:val="000000"/>
          <w:sz w:val="22"/>
          <w:szCs w:val="22"/>
          <w:lang w:val="fr-FR"/>
        </w:rPr>
        <w:t xml:space="preserve">les délais d'arrêté des comptes annuels et de dépôt des comptes annuels et de la liste des donateurs pendant l’état de crise. Par ailleurs, vu le décalage au niveau de la transmission des comptes annuels et des listes des donateurs à la Cour des comptes, le délai dans lequel cette dernière doit adresser ses observations, son rapport et, le </w:t>
      </w:r>
      <w:r w:rsidRPr="003C0BF6">
        <w:rPr>
          <w:rFonts w:ascii="Arial" w:hAnsi="Arial" w:cs="Arial"/>
          <w:color w:val="000000"/>
          <w:sz w:val="22"/>
          <w:szCs w:val="22"/>
          <w:lang w:val="fr-FR"/>
        </w:rPr>
        <w:lastRenderedPageBreak/>
        <w:t>cas échéant, les réponses des partis politiques concernés, au Président de la Chambre des Députés, suivront le même mouvement.</w:t>
      </w:r>
      <w:r w:rsidR="00E146E0" w:rsidRPr="00DC010E">
        <w:rPr>
          <w:rFonts w:ascii="Arial" w:hAnsi="Arial" w:cs="Arial"/>
          <w:sz w:val="22"/>
          <w:szCs w:val="22"/>
        </w:rPr>
        <w:t xml:space="preserve"> </w:t>
      </w:r>
    </w:p>
    <w:p w:rsidR="00777A17" w:rsidRDefault="00777A17" w:rsidP="00777A17">
      <w:pPr>
        <w:widowControl w:val="0"/>
        <w:autoSpaceDE w:val="0"/>
        <w:autoSpaceDN w:val="0"/>
        <w:adjustRightInd w:val="0"/>
        <w:jc w:val="both"/>
        <w:rPr>
          <w:rFonts w:ascii="Arial" w:hAnsi="Arial" w:cs="Arial"/>
          <w:color w:val="000000"/>
          <w:sz w:val="22"/>
          <w:szCs w:val="22"/>
          <w:lang w:val="fr-FR"/>
        </w:rPr>
      </w:pPr>
      <w:r w:rsidRPr="002A5178">
        <w:rPr>
          <w:rFonts w:ascii="Arial" w:hAnsi="Arial" w:cs="Arial"/>
          <w:color w:val="000000"/>
          <w:sz w:val="22"/>
          <w:szCs w:val="22"/>
          <w:lang w:val="fr-FR"/>
        </w:rPr>
        <w:t xml:space="preserve">Il en résulte que </w:t>
      </w:r>
      <w:r w:rsidRPr="002A5178">
        <w:rPr>
          <w:rFonts w:ascii="Arial" w:eastAsia="Calibri" w:hAnsi="Arial" w:cs="Arial"/>
          <w:bCs/>
          <w:sz w:val="22"/>
          <w:szCs w:val="22"/>
        </w:rPr>
        <w:t xml:space="preserve">la date limite fixée au </w:t>
      </w:r>
      <w:r>
        <w:rPr>
          <w:rFonts w:ascii="Arial" w:eastAsia="Calibri" w:hAnsi="Arial" w:cs="Arial"/>
          <w:bCs/>
          <w:sz w:val="22"/>
          <w:szCs w:val="22"/>
        </w:rPr>
        <w:t>1er juillet</w:t>
      </w:r>
      <w:r w:rsidRPr="002A5178">
        <w:rPr>
          <w:rFonts w:ascii="Arial" w:eastAsia="Calibri" w:hAnsi="Arial" w:cs="Arial"/>
          <w:bCs/>
          <w:sz w:val="22"/>
          <w:szCs w:val="22"/>
        </w:rPr>
        <w:t xml:space="preserve"> 2020 à laquelle </w:t>
      </w:r>
      <w:r w:rsidRPr="002A5178">
        <w:rPr>
          <w:rFonts w:ascii="Arial" w:hAnsi="Arial" w:cs="Arial"/>
          <w:color w:val="000000"/>
          <w:sz w:val="22"/>
          <w:szCs w:val="22"/>
          <w:lang w:val="fr-FR"/>
        </w:rPr>
        <w:t xml:space="preserve">un parti politique devrait en principe arrêter ses comptes annuels pour l’exercice comptable clôturé au 31 décembre 2019 </w:t>
      </w:r>
      <w:r w:rsidRPr="002A5178">
        <w:rPr>
          <w:rFonts w:ascii="Arial" w:eastAsia="Calibri" w:hAnsi="Arial" w:cs="Arial"/>
          <w:bCs/>
          <w:sz w:val="22"/>
          <w:szCs w:val="22"/>
        </w:rPr>
        <w:t xml:space="preserve">est reportée </w:t>
      </w:r>
      <w:r w:rsidRPr="002A5178">
        <w:rPr>
          <w:rFonts w:ascii="Arial" w:hAnsi="Arial" w:cs="Arial"/>
          <w:sz w:val="22"/>
          <w:szCs w:val="22"/>
        </w:rPr>
        <w:t>d’un nombre de jours correspondant à la durée de l’état de crise</w:t>
      </w:r>
      <w:r w:rsidRPr="002A5178">
        <w:rPr>
          <w:rFonts w:ascii="Arial" w:hAnsi="Arial" w:cs="Arial"/>
          <w:color w:val="000000"/>
          <w:sz w:val="22"/>
          <w:szCs w:val="22"/>
          <w:lang w:val="fr-FR"/>
        </w:rPr>
        <w:t xml:space="preserve">. En pratique, cela signifie </w:t>
      </w:r>
      <w:r>
        <w:rPr>
          <w:rFonts w:ascii="Arial" w:hAnsi="Arial" w:cs="Arial"/>
          <w:color w:val="000000"/>
          <w:sz w:val="22"/>
          <w:szCs w:val="22"/>
          <w:lang w:val="fr-FR"/>
        </w:rPr>
        <w:t>que les comptes pour l’exercice comptable devront être arrêtés le 8 octobre 2020.</w:t>
      </w:r>
    </w:p>
    <w:p w:rsidR="00777A17" w:rsidRDefault="00777A17" w:rsidP="00777A17">
      <w:pPr>
        <w:widowControl w:val="0"/>
        <w:autoSpaceDE w:val="0"/>
        <w:autoSpaceDN w:val="0"/>
        <w:adjustRightInd w:val="0"/>
        <w:jc w:val="both"/>
        <w:rPr>
          <w:rFonts w:ascii="Arial" w:hAnsi="Arial" w:cs="Arial"/>
          <w:color w:val="000000"/>
          <w:sz w:val="22"/>
          <w:szCs w:val="22"/>
          <w:lang w:val="fr-FR"/>
        </w:rPr>
      </w:pPr>
    </w:p>
    <w:p w:rsidR="007D1FB1" w:rsidRDefault="007D1FB1" w:rsidP="00366D16">
      <w:pPr>
        <w:rPr>
          <w:rFonts w:ascii="Arial" w:hAnsi="Arial" w:cs="Arial"/>
          <w:sz w:val="22"/>
          <w:szCs w:val="22"/>
        </w:rPr>
      </w:pPr>
    </w:p>
    <w:p w:rsidR="007D1FB1" w:rsidRPr="007D1FB1" w:rsidRDefault="007D1FB1" w:rsidP="007D1FB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7"/>
          <w:szCs w:val="27"/>
          <w:bdr w:val="none" w:sz="0" w:space="0" w:color="auto"/>
          <w:lang w:val="fr-LU" w:eastAsia="fr-FR"/>
        </w:rPr>
      </w:pPr>
      <w:r w:rsidRPr="007D1FB1">
        <w:rPr>
          <w:rFonts w:ascii="Calibri" w:eastAsia="Times New Roman" w:hAnsi="Calibri" w:cs="Calibri"/>
          <w:color w:val="1F497D"/>
          <w:sz w:val="22"/>
          <w:szCs w:val="22"/>
          <w:bdr w:val="none" w:sz="0" w:space="0" w:color="auto"/>
          <w:lang w:val="de-DE" w:eastAsia="fr-FR"/>
        </w:rPr>
        <w:t> </w:t>
      </w:r>
    </w:p>
    <w:p w:rsidR="007D1FB1" w:rsidRPr="007D1FB1" w:rsidRDefault="007D1FB1" w:rsidP="007D1FB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7"/>
          <w:szCs w:val="27"/>
          <w:bdr w:val="none" w:sz="0" w:space="0" w:color="auto"/>
          <w:lang w:val="fr-LU" w:eastAsia="fr-FR"/>
        </w:rPr>
      </w:pPr>
    </w:p>
    <w:p w:rsidR="007D1FB1" w:rsidRPr="007D1FB1" w:rsidRDefault="007D1FB1" w:rsidP="007D1FB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7"/>
          <w:szCs w:val="27"/>
          <w:bdr w:val="none" w:sz="0" w:space="0" w:color="auto"/>
          <w:lang w:val="fr-LU" w:eastAsia="fr-FR"/>
        </w:rPr>
      </w:pPr>
      <w:r w:rsidRPr="007D1FB1">
        <w:rPr>
          <w:rFonts w:ascii="Calibri" w:eastAsia="Times New Roman" w:hAnsi="Calibri" w:cs="Calibri"/>
          <w:color w:val="1F497D"/>
          <w:sz w:val="22"/>
          <w:szCs w:val="22"/>
          <w:bdr w:val="none" w:sz="0" w:space="0" w:color="auto"/>
          <w:lang w:val="de-DE" w:eastAsia="fr-FR"/>
        </w:rPr>
        <w:t> </w:t>
      </w:r>
    </w:p>
    <w:p w:rsidR="00366D16" w:rsidRPr="00366D16" w:rsidRDefault="00366D16" w:rsidP="00366D16">
      <w:pPr>
        <w:rPr>
          <w:rFonts w:eastAsia="Times New Roman"/>
          <w:bdr w:val="none" w:sz="0" w:space="0" w:color="auto"/>
          <w:lang w:val="fr-LU" w:eastAsia="fr-FR"/>
        </w:rPr>
      </w:pPr>
    </w:p>
    <w:p w:rsidR="003E492A" w:rsidRPr="003C0BF6" w:rsidRDefault="003E492A" w:rsidP="001D477D">
      <w:pPr>
        <w:widowControl w:val="0"/>
        <w:autoSpaceDE w:val="0"/>
        <w:autoSpaceDN w:val="0"/>
        <w:adjustRightInd w:val="0"/>
        <w:jc w:val="both"/>
        <w:rPr>
          <w:rFonts w:ascii="Arial" w:hAnsi="Arial" w:cs="Arial"/>
          <w:sz w:val="22"/>
          <w:szCs w:val="22"/>
        </w:rPr>
      </w:pPr>
    </w:p>
    <w:sectPr w:rsidR="003E492A" w:rsidRPr="003C0BF6">
      <w:footerReference w:type="default" r:id="rId7"/>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DD6" w:rsidRDefault="00996DD6">
      <w:r>
        <w:separator/>
      </w:r>
    </w:p>
  </w:endnote>
  <w:endnote w:type="continuationSeparator" w:id="0">
    <w:p w:rsidR="00996DD6" w:rsidRDefault="0099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92A" w:rsidRDefault="00434577">
    <w:pPr>
      <w:pStyle w:val="Pieddepage"/>
      <w:tabs>
        <w:tab w:val="clear" w:pos="9072"/>
        <w:tab w:val="right" w:pos="9046"/>
      </w:tabs>
      <w:jc w:val="center"/>
    </w:pPr>
    <w:r>
      <w:rPr>
        <w:rStyle w:val="Aucun"/>
      </w:rPr>
      <w:fldChar w:fldCharType="begin"/>
    </w:r>
    <w:r>
      <w:rPr>
        <w:rStyle w:val="Aucun"/>
      </w:rPr>
      <w:instrText xml:space="preserve"> PAGE </w:instrText>
    </w:r>
    <w:r>
      <w:rPr>
        <w:rStyle w:val="Aucun"/>
      </w:rPr>
      <w:fldChar w:fldCharType="separate"/>
    </w:r>
    <w:r w:rsidR="007A6C5B">
      <w:rPr>
        <w:rStyle w:val="Aucun"/>
        <w:noProof/>
      </w:rPr>
      <w:t>1</w:t>
    </w:r>
    <w:r>
      <w:rPr>
        <w:rStyle w:val="Aucu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DD6" w:rsidRDefault="00996DD6">
      <w:r>
        <w:separator/>
      </w:r>
    </w:p>
  </w:footnote>
  <w:footnote w:type="continuationSeparator" w:id="0">
    <w:p w:rsidR="00996DD6" w:rsidRDefault="00996D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B323F"/>
    <w:multiLevelType w:val="hybridMultilevel"/>
    <w:tmpl w:val="3BF81398"/>
    <w:numStyleLink w:val="Style1import"/>
  </w:abstractNum>
  <w:abstractNum w:abstractNumId="1" w15:restartNumberingAfterBreak="0">
    <w:nsid w:val="2322134F"/>
    <w:multiLevelType w:val="hybridMultilevel"/>
    <w:tmpl w:val="D3E4653A"/>
    <w:styleLink w:val="Puces"/>
    <w:lvl w:ilvl="0" w:tplc="FC7CB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41" w:hanging="34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688DB7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7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2C8F24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3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CB851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61815E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5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B9CC75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1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0D7CD1F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7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EF88DA0">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566"/>
        </w:tabs>
        <w:ind w:left="43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D36A3F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9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7197083"/>
    <w:multiLevelType w:val="hybridMultilevel"/>
    <w:tmpl w:val="3BF81398"/>
    <w:styleLink w:val="Style1import"/>
    <w:lvl w:ilvl="0" w:tplc="2B6E719A">
      <w:start w:val="1"/>
      <w:numFmt w:val="upperRoman"/>
      <w:lvlText w:val="%1."/>
      <w:lvlJc w:val="left"/>
      <w:pPr>
        <w:tabs>
          <w:tab w:val="num" w:pos="674"/>
        </w:tabs>
        <w:ind w:left="686" w:hanging="387"/>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1" w:tplc="A37C6B76">
      <w:start w:val="1"/>
      <w:numFmt w:val="lowerLetter"/>
      <w:lvlText w:val="%2."/>
      <w:lvlJc w:val="left"/>
      <w:pPr>
        <w:tabs>
          <w:tab w:val="left" w:pos="674"/>
          <w:tab w:val="num" w:pos="1416"/>
        </w:tabs>
        <w:ind w:left="1428" w:hanging="348"/>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2" w:tplc="0F324DE8">
      <w:start w:val="1"/>
      <w:numFmt w:val="lowerRoman"/>
      <w:lvlText w:val="%3."/>
      <w:lvlJc w:val="left"/>
      <w:pPr>
        <w:tabs>
          <w:tab w:val="left" w:pos="674"/>
          <w:tab w:val="num" w:pos="2124"/>
        </w:tabs>
        <w:ind w:left="2136" w:hanging="271"/>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3" w:tplc="2DAA1E42">
      <w:start w:val="1"/>
      <w:numFmt w:val="decimal"/>
      <w:lvlText w:val="%4."/>
      <w:lvlJc w:val="left"/>
      <w:pPr>
        <w:tabs>
          <w:tab w:val="left" w:pos="674"/>
          <w:tab w:val="num" w:pos="2832"/>
        </w:tabs>
        <w:ind w:left="2844" w:hanging="324"/>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4" w:tplc="2CAE73FA">
      <w:start w:val="1"/>
      <w:numFmt w:val="lowerLetter"/>
      <w:lvlText w:val="%5."/>
      <w:lvlJc w:val="left"/>
      <w:pPr>
        <w:tabs>
          <w:tab w:val="left" w:pos="674"/>
          <w:tab w:val="num" w:pos="3540"/>
        </w:tabs>
        <w:ind w:left="3552" w:hanging="312"/>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5" w:tplc="BF2A21BE">
      <w:start w:val="1"/>
      <w:numFmt w:val="lowerRoman"/>
      <w:lvlText w:val="%6."/>
      <w:lvlJc w:val="left"/>
      <w:pPr>
        <w:tabs>
          <w:tab w:val="left" w:pos="674"/>
          <w:tab w:val="num" w:pos="4248"/>
        </w:tabs>
        <w:ind w:left="4260" w:hanging="23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6" w:tplc="FC5E57CA">
      <w:start w:val="1"/>
      <w:numFmt w:val="decimal"/>
      <w:lvlText w:val="%7."/>
      <w:lvlJc w:val="left"/>
      <w:pPr>
        <w:tabs>
          <w:tab w:val="left" w:pos="674"/>
          <w:tab w:val="num" w:pos="4956"/>
        </w:tabs>
        <w:ind w:left="4968" w:hanging="288"/>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7" w:tplc="49F46532">
      <w:start w:val="1"/>
      <w:numFmt w:val="lowerLetter"/>
      <w:lvlText w:val="%8."/>
      <w:lvlJc w:val="left"/>
      <w:pPr>
        <w:tabs>
          <w:tab w:val="left" w:pos="674"/>
          <w:tab w:val="num" w:pos="5664"/>
        </w:tabs>
        <w:ind w:left="5676" w:hanging="276"/>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8" w:tplc="867CE836">
      <w:start w:val="1"/>
      <w:numFmt w:val="lowerRoman"/>
      <w:suff w:val="nothing"/>
      <w:lvlText w:val="%9."/>
      <w:lvlJc w:val="left"/>
      <w:pPr>
        <w:tabs>
          <w:tab w:val="left" w:pos="674"/>
        </w:tabs>
        <w:ind w:left="6330" w:hanging="14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3" w15:restartNumberingAfterBreak="0">
    <w:nsid w:val="529A1D9F"/>
    <w:multiLevelType w:val="multilevel"/>
    <w:tmpl w:val="38F0B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355BDA"/>
    <w:multiLevelType w:val="hybridMultilevel"/>
    <w:tmpl w:val="D3E4653A"/>
    <w:numStyleLink w:val="Puces"/>
  </w:abstractNum>
  <w:num w:numId="1">
    <w:abstractNumId w:val="2"/>
  </w:num>
  <w:num w:numId="2">
    <w:abstractNumId w:val="0"/>
  </w:num>
  <w:num w:numId="3">
    <w:abstractNumId w:val="0"/>
    <w:lvlOverride w:ilvl="0">
      <w:lvl w:ilvl="0" w:tplc="FCBA2382">
        <w:start w:val="1"/>
        <w:numFmt w:val="upperRoman"/>
        <w:lvlText w:val="%1."/>
        <w:lvlJc w:val="left"/>
        <w:pPr>
          <w:tabs>
            <w:tab w:val="num" w:pos="708"/>
          </w:tabs>
          <w:ind w:left="720" w:hanging="42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9F891BC">
        <w:start w:val="1"/>
        <w:numFmt w:val="lowerLetter"/>
        <w:lvlText w:val="%2."/>
        <w:lvlJc w:val="left"/>
        <w:pPr>
          <w:tabs>
            <w:tab w:val="left" w:pos="708"/>
            <w:tab w:val="num" w:pos="1416"/>
          </w:tabs>
          <w:ind w:left="1428" w:hanging="34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ED23050">
        <w:start w:val="1"/>
        <w:numFmt w:val="lowerRoman"/>
        <w:lvlText w:val="%3."/>
        <w:lvlJc w:val="left"/>
        <w:pPr>
          <w:tabs>
            <w:tab w:val="left" w:pos="708"/>
            <w:tab w:val="num" w:pos="2124"/>
          </w:tabs>
          <w:ind w:left="2136" w:hanging="2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292A440">
        <w:start w:val="1"/>
        <w:numFmt w:val="decimal"/>
        <w:lvlText w:val="%4."/>
        <w:lvlJc w:val="left"/>
        <w:pPr>
          <w:tabs>
            <w:tab w:val="left" w:pos="708"/>
            <w:tab w:val="num" w:pos="2832"/>
          </w:tabs>
          <w:ind w:left="2844" w:hanging="32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88EA090">
        <w:start w:val="1"/>
        <w:numFmt w:val="lowerLetter"/>
        <w:lvlText w:val="%5."/>
        <w:lvlJc w:val="left"/>
        <w:pPr>
          <w:tabs>
            <w:tab w:val="left" w:pos="708"/>
            <w:tab w:val="num" w:pos="3540"/>
          </w:tabs>
          <w:ind w:left="3552" w:hanging="31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9B04D42">
        <w:start w:val="1"/>
        <w:numFmt w:val="lowerRoman"/>
        <w:lvlText w:val="%6."/>
        <w:lvlJc w:val="left"/>
        <w:pPr>
          <w:tabs>
            <w:tab w:val="left" w:pos="708"/>
            <w:tab w:val="num" w:pos="4248"/>
          </w:tabs>
          <w:ind w:left="4260" w:hanging="2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09CC4BA">
        <w:start w:val="1"/>
        <w:numFmt w:val="decimal"/>
        <w:lvlText w:val="%7."/>
        <w:lvlJc w:val="left"/>
        <w:pPr>
          <w:tabs>
            <w:tab w:val="left" w:pos="708"/>
            <w:tab w:val="num" w:pos="4956"/>
          </w:tabs>
          <w:ind w:left="4968" w:hanging="28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CBAE2D2">
        <w:start w:val="1"/>
        <w:numFmt w:val="lowerLetter"/>
        <w:lvlText w:val="%8."/>
        <w:lvlJc w:val="left"/>
        <w:pPr>
          <w:tabs>
            <w:tab w:val="left" w:pos="708"/>
            <w:tab w:val="num" w:pos="5664"/>
          </w:tabs>
          <w:ind w:left="5676" w:hanging="27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654E330">
        <w:start w:val="1"/>
        <w:numFmt w:val="lowerRoman"/>
        <w:suff w:val="nothing"/>
        <w:lvlText w:val="%9."/>
        <w:lvlJc w:val="left"/>
        <w:pPr>
          <w:tabs>
            <w:tab w:val="left" w:pos="708"/>
          </w:tabs>
          <w:ind w:left="6312" w:hanging="14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4"/>
  </w:num>
  <w:num w:numId="6">
    <w:abstractNumId w:val="0"/>
    <w:lvlOverride w:ilvl="0">
      <w:startOverride w:val="3"/>
      <w:lvl w:ilvl="0" w:tplc="FCBA2382">
        <w:start w:val="3"/>
        <w:numFmt w:val="upperRoman"/>
        <w:lvlText w:val="%1."/>
        <w:lvlJc w:val="left"/>
        <w:pPr>
          <w:tabs>
            <w:tab w:val="num" w:pos="708"/>
          </w:tabs>
          <w:ind w:left="720" w:hanging="42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9F891BC">
        <w:start w:val="1"/>
        <w:numFmt w:val="lowerLetter"/>
        <w:lvlText w:val="%2."/>
        <w:lvlJc w:val="left"/>
        <w:pPr>
          <w:tabs>
            <w:tab w:val="num" w:pos="1416"/>
          </w:tabs>
          <w:ind w:left="1428" w:hanging="34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ED23050">
        <w:start w:val="1"/>
        <w:numFmt w:val="lowerRoman"/>
        <w:lvlText w:val="%3."/>
        <w:lvlJc w:val="left"/>
        <w:pPr>
          <w:tabs>
            <w:tab w:val="num" w:pos="2124"/>
          </w:tabs>
          <w:ind w:left="2136" w:hanging="2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92A440">
        <w:start w:val="1"/>
        <w:numFmt w:val="decimal"/>
        <w:lvlText w:val="%4."/>
        <w:lvlJc w:val="left"/>
        <w:pPr>
          <w:tabs>
            <w:tab w:val="num" w:pos="2832"/>
          </w:tabs>
          <w:ind w:left="2844" w:hanging="32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88EA090">
        <w:start w:val="1"/>
        <w:numFmt w:val="lowerLetter"/>
        <w:lvlText w:val="%5."/>
        <w:lvlJc w:val="left"/>
        <w:pPr>
          <w:tabs>
            <w:tab w:val="num" w:pos="3540"/>
          </w:tabs>
          <w:ind w:left="3552" w:hanging="31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9B04D42">
        <w:start w:val="1"/>
        <w:numFmt w:val="lowerRoman"/>
        <w:lvlText w:val="%6."/>
        <w:lvlJc w:val="left"/>
        <w:pPr>
          <w:tabs>
            <w:tab w:val="num" w:pos="4248"/>
          </w:tabs>
          <w:ind w:left="4260" w:hanging="2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09CC4BA">
        <w:start w:val="1"/>
        <w:numFmt w:val="decimal"/>
        <w:lvlText w:val="%7."/>
        <w:lvlJc w:val="left"/>
        <w:pPr>
          <w:tabs>
            <w:tab w:val="num" w:pos="4956"/>
          </w:tabs>
          <w:ind w:left="4968" w:hanging="28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CBAE2D2">
        <w:start w:val="1"/>
        <w:numFmt w:val="lowerLetter"/>
        <w:lvlText w:val="%8."/>
        <w:lvlJc w:val="left"/>
        <w:pPr>
          <w:tabs>
            <w:tab w:val="num" w:pos="5664"/>
          </w:tabs>
          <w:ind w:left="5676" w:hanging="27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654E330">
        <w:start w:val="1"/>
        <w:numFmt w:val="lowerRoman"/>
        <w:suff w:val="nothing"/>
        <w:lvlText w:val="%9."/>
        <w:lvlJc w:val="left"/>
        <w:pPr>
          <w:ind w:left="6312" w:hanging="14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92A"/>
    <w:rsid w:val="00017562"/>
    <w:rsid w:val="000B068B"/>
    <w:rsid w:val="000D4E72"/>
    <w:rsid w:val="000F02F0"/>
    <w:rsid w:val="001321A0"/>
    <w:rsid w:val="00144236"/>
    <w:rsid w:val="00161B69"/>
    <w:rsid w:val="00175B50"/>
    <w:rsid w:val="00194C77"/>
    <w:rsid w:val="00196C15"/>
    <w:rsid w:val="001B2B6D"/>
    <w:rsid w:val="001D477D"/>
    <w:rsid w:val="00217D08"/>
    <w:rsid w:val="0023111C"/>
    <w:rsid w:val="002A5178"/>
    <w:rsid w:val="002C766A"/>
    <w:rsid w:val="003342C8"/>
    <w:rsid w:val="0036164C"/>
    <w:rsid w:val="00362D53"/>
    <w:rsid w:val="00366D16"/>
    <w:rsid w:val="00376B3A"/>
    <w:rsid w:val="003B1505"/>
    <w:rsid w:val="003C0BF6"/>
    <w:rsid w:val="003E35AE"/>
    <w:rsid w:val="003E492A"/>
    <w:rsid w:val="003E54A2"/>
    <w:rsid w:val="00423FD4"/>
    <w:rsid w:val="00434577"/>
    <w:rsid w:val="004C080E"/>
    <w:rsid w:val="004F44B3"/>
    <w:rsid w:val="00544CD7"/>
    <w:rsid w:val="00571384"/>
    <w:rsid w:val="00576FFD"/>
    <w:rsid w:val="00583701"/>
    <w:rsid w:val="00586155"/>
    <w:rsid w:val="005F54CB"/>
    <w:rsid w:val="00605A32"/>
    <w:rsid w:val="00631633"/>
    <w:rsid w:val="00650B65"/>
    <w:rsid w:val="0067430F"/>
    <w:rsid w:val="006D1B36"/>
    <w:rsid w:val="00777A17"/>
    <w:rsid w:val="007A6C5B"/>
    <w:rsid w:val="007B4CD8"/>
    <w:rsid w:val="007D1FB1"/>
    <w:rsid w:val="007D31AD"/>
    <w:rsid w:val="007F6BF4"/>
    <w:rsid w:val="00811D51"/>
    <w:rsid w:val="00861632"/>
    <w:rsid w:val="008B33C6"/>
    <w:rsid w:val="008B5437"/>
    <w:rsid w:val="00934E16"/>
    <w:rsid w:val="009518E4"/>
    <w:rsid w:val="00996DD6"/>
    <w:rsid w:val="009A22DB"/>
    <w:rsid w:val="009C4300"/>
    <w:rsid w:val="00A362FC"/>
    <w:rsid w:val="00A85713"/>
    <w:rsid w:val="00AC4965"/>
    <w:rsid w:val="00AE7230"/>
    <w:rsid w:val="00B60AAE"/>
    <w:rsid w:val="00C62DAA"/>
    <w:rsid w:val="00CA26F8"/>
    <w:rsid w:val="00CF0B84"/>
    <w:rsid w:val="00DC010E"/>
    <w:rsid w:val="00DF3513"/>
    <w:rsid w:val="00DF56EB"/>
    <w:rsid w:val="00E116FA"/>
    <w:rsid w:val="00E1279D"/>
    <w:rsid w:val="00E146E0"/>
    <w:rsid w:val="00E170F9"/>
    <w:rsid w:val="00E24F4E"/>
    <w:rsid w:val="00EC0437"/>
    <w:rsid w:val="00EF5A27"/>
    <w:rsid w:val="00F12C20"/>
    <w:rsid w:val="00F93E1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C080227-269E-48F2-B2F2-0C4D53E7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nil"/>
        <w:left w:val="nil"/>
        <w:bottom w:val="nil"/>
        <w:right w:val="nil"/>
        <w:between w:val="nil"/>
        <w:bar w:val="nil"/>
      </w:pBdr>
    </w:pPr>
    <w:rPr>
      <w:sz w:val="24"/>
      <w:szCs w:val="24"/>
      <w:bdr w:val="nil"/>
      <w:lang w:val="en-US" w:eastAsia="en-US"/>
    </w:rPr>
  </w:style>
  <w:style w:type="paragraph" w:styleId="Titre4">
    <w:name w:val="heading 4"/>
    <w:uiPriority w:val="9"/>
    <w:unhideWhenUsed/>
    <w:qFormat/>
    <w:pPr>
      <w:pBdr>
        <w:top w:val="nil"/>
        <w:left w:val="nil"/>
        <w:bottom w:val="nil"/>
        <w:right w:val="nil"/>
        <w:between w:val="nil"/>
        <w:bar w:val="nil"/>
      </w:pBdr>
      <w:spacing w:after="200" w:line="276" w:lineRule="auto"/>
      <w:outlineLvl w:val="3"/>
    </w:pPr>
    <w:rPr>
      <w:rFonts w:ascii="Calibri" w:eastAsia="Calibri" w:hAnsi="Calibri" w:cs="Calibri"/>
      <w:color w:val="000000"/>
      <w:u w:color="000000"/>
      <w:bdr w:val="nil"/>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pPr>
      <w:pBdr>
        <w:top w:val="nil"/>
        <w:left w:val="nil"/>
        <w:bottom w:val="nil"/>
        <w:right w:val="nil"/>
        <w:between w:val="nil"/>
        <w:bar w:val="nil"/>
      </w:pBdr>
    </w:pPr>
    <w:rPr>
      <w:bdr w:val="nil"/>
      <w:lang w:eastAsia="fr-FR"/>
    </w:rPr>
    <w:tblPr>
      <w:tblInd w:w="0" w:type="dxa"/>
      <w:tblCellMar>
        <w:top w:w="0" w:type="dxa"/>
        <w:left w:w="0" w:type="dxa"/>
        <w:bottom w:w="0" w:type="dxa"/>
        <w:right w:w="0" w:type="dxa"/>
      </w:tblCellMar>
    </w:tblPr>
  </w:style>
  <w:style w:type="paragraph" w:styleId="En-tte">
    <w:name w:val="head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lang w:eastAsia="fr-FR"/>
    </w:rPr>
  </w:style>
  <w:style w:type="paragraph" w:styleId="Pieddepage">
    <w:name w:val="footer"/>
    <w:pPr>
      <w:pBdr>
        <w:top w:val="nil"/>
        <w:left w:val="nil"/>
        <w:bottom w:val="nil"/>
        <w:right w:val="nil"/>
        <w:between w:val="nil"/>
        <w:bar w:val="nil"/>
      </w:pBdr>
      <w:tabs>
        <w:tab w:val="center" w:pos="4536"/>
        <w:tab w:val="right" w:pos="9072"/>
      </w:tabs>
      <w:spacing w:after="200" w:line="276" w:lineRule="auto"/>
    </w:pPr>
    <w:rPr>
      <w:rFonts w:ascii="Calibri" w:eastAsia="Calibri" w:hAnsi="Calibri" w:cs="Calibri"/>
      <w:color w:val="000000"/>
      <w:sz w:val="22"/>
      <w:szCs w:val="22"/>
      <w:u w:color="000000"/>
      <w:bdr w:val="nil"/>
      <w:lang w:val="fr-FR" w:eastAsia="fr-FR"/>
    </w:rPr>
  </w:style>
  <w:style w:type="character" w:customStyle="1" w:styleId="Aucun">
    <w:name w:val="Aucun"/>
  </w:style>
  <w:style w:type="paragraph" w:customStyle="1" w:styleId="Corps">
    <w:name w:val="Corps"/>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fr-FR"/>
    </w:rPr>
  </w:style>
  <w:style w:type="character" w:customStyle="1" w:styleId="AucunA">
    <w:name w:val="Aucun A"/>
    <w:basedOn w:val="Aucun"/>
  </w:style>
  <w:style w:type="paragraph" w:styleId="Textebrut">
    <w:name w:val="Plain Text"/>
    <w:pPr>
      <w:pBdr>
        <w:top w:val="nil"/>
        <w:left w:val="nil"/>
        <w:bottom w:val="nil"/>
        <w:right w:val="nil"/>
        <w:between w:val="nil"/>
        <w:bar w:val="nil"/>
      </w:pBdr>
      <w:spacing w:after="200" w:line="276" w:lineRule="auto"/>
      <w:jc w:val="both"/>
    </w:pPr>
    <w:rPr>
      <w:rFonts w:ascii="Courier New" w:hAnsi="Courier New" w:cs="Arial Unicode MS"/>
      <w:color w:val="000000"/>
      <w:u w:color="000000"/>
      <w:bdr w:val="nil"/>
      <w:lang w:val="fr-FR" w:eastAsia="fr-FR"/>
    </w:rPr>
  </w:style>
  <w:style w:type="paragraph" w:styleId="Paragraphedeliste">
    <w:name w:val="List Paragraph"/>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fr-FR" w:eastAsia="fr-FR"/>
    </w:rPr>
  </w:style>
  <w:style w:type="numbering" w:customStyle="1" w:styleId="Style1import">
    <w:name w:val="Style 1 importé"/>
    <w:pPr>
      <w:numPr>
        <w:numId w:val="1"/>
      </w:numPr>
    </w:pPr>
  </w:style>
  <w:style w:type="paragraph" w:styleId="Sansinterligne">
    <w:name w:val="No Spacing"/>
    <w:pPr>
      <w:pBdr>
        <w:top w:val="nil"/>
        <w:left w:val="nil"/>
        <w:bottom w:val="nil"/>
        <w:right w:val="nil"/>
        <w:between w:val="nil"/>
        <w:bar w:val="nil"/>
      </w:pBdr>
      <w:spacing w:after="200" w:line="276" w:lineRule="auto"/>
    </w:pPr>
    <w:rPr>
      <w:rFonts w:eastAsia="Times New Roman"/>
      <w:color w:val="000000"/>
      <w:u w:color="000000"/>
      <w:bdr w:val="nil"/>
      <w:lang w:val="fr-FR" w:eastAsia="fr-FR"/>
    </w:rPr>
  </w:style>
  <w:style w:type="paragraph" w:customStyle="1" w:styleId="PardfautA">
    <w:name w:val="Par défaut A"/>
    <w:pPr>
      <w:pBdr>
        <w:top w:val="nil"/>
        <w:left w:val="nil"/>
        <w:bottom w:val="nil"/>
        <w:right w:val="nil"/>
        <w:between w:val="nil"/>
        <w:bar w:val="nil"/>
      </w:pBdr>
      <w:spacing w:after="200" w:line="276" w:lineRule="auto"/>
    </w:pPr>
    <w:rPr>
      <w:rFonts w:ascii="Helvetica Neue" w:hAnsi="Helvetica Neue" w:cs="Arial Unicode MS"/>
      <w:color w:val="000000"/>
      <w:sz w:val="22"/>
      <w:szCs w:val="22"/>
      <w:u w:color="000000"/>
      <w:bdr w:val="nil"/>
      <w:lang w:val="fr-FR" w:eastAsia="fr-FR"/>
    </w:rPr>
  </w:style>
  <w:style w:type="numbering" w:customStyle="1" w:styleId="Puces">
    <w:name w:val="Puces"/>
    <w:pPr>
      <w:numPr>
        <w:numId w:val="4"/>
      </w:numPr>
    </w:pPr>
  </w:style>
  <w:style w:type="character" w:customStyle="1" w:styleId="Hyperlink0">
    <w:name w:val="Hyperlink.0"/>
    <w:rPr>
      <w:outline w:val="0"/>
      <w:color w:val="007DAD"/>
      <w:u w:val="single" w:color="007DAD"/>
    </w:rPr>
  </w:style>
  <w:style w:type="paragraph" w:styleId="Textedebulles">
    <w:name w:val="Balloon Text"/>
    <w:basedOn w:val="Normal"/>
    <w:link w:val="TextedebullesCar"/>
    <w:uiPriority w:val="99"/>
    <w:semiHidden/>
    <w:unhideWhenUsed/>
    <w:rsid w:val="00E1279D"/>
    <w:rPr>
      <w:sz w:val="18"/>
      <w:szCs w:val="18"/>
    </w:rPr>
  </w:style>
  <w:style w:type="character" w:customStyle="1" w:styleId="TextedebullesCar">
    <w:name w:val="Texte de bulles Car"/>
    <w:link w:val="Textedebulles"/>
    <w:uiPriority w:val="99"/>
    <w:semiHidden/>
    <w:rsid w:val="00E1279D"/>
    <w:rPr>
      <w:sz w:val="18"/>
      <w:szCs w:val="18"/>
      <w:lang w:val="en-US" w:eastAsia="en-US"/>
    </w:rPr>
  </w:style>
  <w:style w:type="paragraph" w:styleId="NormalWeb">
    <w:name w:val="Normal (Web)"/>
    <w:basedOn w:val="Normal"/>
    <w:uiPriority w:val="99"/>
    <w:unhideWhenUsed/>
    <w:rsid w:val="00E127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LU" w:eastAsia="fr-FR"/>
    </w:rPr>
  </w:style>
  <w:style w:type="paragraph" w:styleId="Rvision">
    <w:name w:val="Revision"/>
    <w:hidden/>
    <w:uiPriority w:val="99"/>
    <w:semiHidden/>
    <w:rsid w:val="00E1279D"/>
    <w:rPr>
      <w:sz w:val="24"/>
      <w:szCs w:val="24"/>
      <w:bdr w:val="nil"/>
      <w:lang w:val="en-US" w:eastAsia="en-US"/>
    </w:rPr>
  </w:style>
  <w:style w:type="paragraph" w:styleId="Notedebasdepage">
    <w:name w:val="footnote text"/>
    <w:basedOn w:val="Normal"/>
    <w:link w:val="NotedebasdepageCar"/>
    <w:uiPriority w:val="99"/>
    <w:unhideWhenUsed/>
    <w:rsid w:val="00A362FC"/>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sz w:val="20"/>
      <w:szCs w:val="20"/>
      <w:u w:color="000000"/>
      <w:bdr w:val="none" w:sz="0" w:space="0" w:color="auto"/>
    </w:rPr>
  </w:style>
  <w:style w:type="character" w:customStyle="1" w:styleId="NotedebasdepageCar">
    <w:name w:val="Note de bas de page Car"/>
    <w:link w:val="Notedebasdepage"/>
    <w:uiPriority w:val="99"/>
    <w:rsid w:val="00A362FC"/>
    <w:rPr>
      <w:rFonts w:hAnsi="Arial Unicode MS" w:cs="Arial Unicode MS"/>
      <w:color w:val="000000"/>
      <w:u w:color="000000"/>
      <w:bdr w:val="none" w:sz="0" w:space="0" w:color="auto"/>
      <w:lang w:val="en-US" w:eastAsia="en-US"/>
    </w:rPr>
  </w:style>
  <w:style w:type="character" w:styleId="Appelnotedebasdep">
    <w:name w:val="footnote reference"/>
    <w:uiPriority w:val="99"/>
    <w:unhideWhenUsed/>
    <w:rsid w:val="00A362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6101">
      <w:bodyDiv w:val="1"/>
      <w:marLeft w:val="0"/>
      <w:marRight w:val="0"/>
      <w:marTop w:val="0"/>
      <w:marBottom w:val="0"/>
      <w:divBdr>
        <w:top w:val="none" w:sz="0" w:space="0" w:color="auto"/>
        <w:left w:val="none" w:sz="0" w:space="0" w:color="auto"/>
        <w:bottom w:val="none" w:sz="0" w:space="0" w:color="auto"/>
        <w:right w:val="none" w:sz="0" w:space="0" w:color="auto"/>
      </w:divBdr>
      <w:divsChild>
        <w:div w:id="1744328033">
          <w:marLeft w:val="0"/>
          <w:marRight w:val="0"/>
          <w:marTop w:val="0"/>
          <w:marBottom w:val="0"/>
          <w:divBdr>
            <w:top w:val="none" w:sz="0" w:space="0" w:color="auto"/>
            <w:left w:val="none" w:sz="0" w:space="0" w:color="auto"/>
            <w:bottom w:val="none" w:sz="0" w:space="0" w:color="auto"/>
            <w:right w:val="none" w:sz="0" w:space="0" w:color="auto"/>
          </w:divBdr>
          <w:divsChild>
            <w:div w:id="505829301">
              <w:marLeft w:val="0"/>
              <w:marRight w:val="0"/>
              <w:marTop w:val="0"/>
              <w:marBottom w:val="0"/>
              <w:divBdr>
                <w:top w:val="none" w:sz="0" w:space="0" w:color="auto"/>
                <w:left w:val="none" w:sz="0" w:space="0" w:color="auto"/>
                <w:bottom w:val="none" w:sz="0" w:space="0" w:color="auto"/>
                <w:right w:val="none" w:sz="0" w:space="0" w:color="auto"/>
              </w:divBdr>
              <w:divsChild>
                <w:div w:id="585237231">
                  <w:marLeft w:val="0"/>
                  <w:marRight w:val="0"/>
                  <w:marTop w:val="0"/>
                  <w:marBottom w:val="0"/>
                  <w:divBdr>
                    <w:top w:val="none" w:sz="0" w:space="0" w:color="auto"/>
                    <w:left w:val="none" w:sz="0" w:space="0" w:color="auto"/>
                    <w:bottom w:val="none" w:sz="0" w:space="0" w:color="auto"/>
                    <w:right w:val="none" w:sz="0" w:space="0" w:color="auto"/>
                  </w:divBdr>
                  <w:divsChild>
                    <w:div w:id="4189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664175">
      <w:bodyDiv w:val="1"/>
      <w:marLeft w:val="0"/>
      <w:marRight w:val="0"/>
      <w:marTop w:val="0"/>
      <w:marBottom w:val="0"/>
      <w:divBdr>
        <w:top w:val="none" w:sz="0" w:space="0" w:color="auto"/>
        <w:left w:val="none" w:sz="0" w:space="0" w:color="auto"/>
        <w:bottom w:val="none" w:sz="0" w:space="0" w:color="auto"/>
        <w:right w:val="none" w:sz="0" w:space="0" w:color="auto"/>
      </w:divBdr>
      <w:divsChild>
        <w:div w:id="946502989">
          <w:marLeft w:val="0"/>
          <w:marRight w:val="0"/>
          <w:marTop w:val="0"/>
          <w:marBottom w:val="0"/>
          <w:divBdr>
            <w:top w:val="none" w:sz="0" w:space="0" w:color="auto"/>
            <w:left w:val="none" w:sz="0" w:space="0" w:color="auto"/>
            <w:bottom w:val="none" w:sz="0" w:space="0" w:color="auto"/>
            <w:right w:val="none" w:sz="0" w:space="0" w:color="auto"/>
          </w:divBdr>
          <w:divsChild>
            <w:div w:id="176816763">
              <w:marLeft w:val="0"/>
              <w:marRight w:val="0"/>
              <w:marTop w:val="0"/>
              <w:marBottom w:val="0"/>
              <w:divBdr>
                <w:top w:val="none" w:sz="0" w:space="0" w:color="auto"/>
                <w:left w:val="none" w:sz="0" w:space="0" w:color="auto"/>
                <w:bottom w:val="none" w:sz="0" w:space="0" w:color="auto"/>
                <w:right w:val="none" w:sz="0" w:space="0" w:color="auto"/>
              </w:divBdr>
              <w:divsChild>
                <w:div w:id="137962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99284">
      <w:bodyDiv w:val="1"/>
      <w:marLeft w:val="0"/>
      <w:marRight w:val="0"/>
      <w:marTop w:val="0"/>
      <w:marBottom w:val="0"/>
      <w:divBdr>
        <w:top w:val="none" w:sz="0" w:space="0" w:color="auto"/>
        <w:left w:val="none" w:sz="0" w:space="0" w:color="auto"/>
        <w:bottom w:val="none" w:sz="0" w:space="0" w:color="auto"/>
        <w:right w:val="none" w:sz="0" w:space="0" w:color="auto"/>
      </w:divBdr>
      <w:divsChild>
        <w:div w:id="702440216">
          <w:marLeft w:val="0"/>
          <w:marRight w:val="0"/>
          <w:marTop w:val="0"/>
          <w:marBottom w:val="0"/>
          <w:divBdr>
            <w:top w:val="none" w:sz="0" w:space="0" w:color="auto"/>
            <w:left w:val="none" w:sz="0" w:space="0" w:color="auto"/>
            <w:bottom w:val="none" w:sz="0" w:space="0" w:color="auto"/>
            <w:right w:val="none" w:sz="0" w:space="0" w:color="auto"/>
          </w:divBdr>
          <w:divsChild>
            <w:div w:id="414057043">
              <w:marLeft w:val="0"/>
              <w:marRight w:val="0"/>
              <w:marTop w:val="0"/>
              <w:marBottom w:val="0"/>
              <w:divBdr>
                <w:top w:val="none" w:sz="0" w:space="0" w:color="auto"/>
                <w:left w:val="none" w:sz="0" w:space="0" w:color="auto"/>
                <w:bottom w:val="none" w:sz="0" w:space="0" w:color="auto"/>
                <w:right w:val="none" w:sz="0" w:space="0" w:color="auto"/>
              </w:divBdr>
              <w:divsChild>
                <w:div w:id="31079479">
                  <w:marLeft w:val="0"/>
                  <w:marRight w:val="0"/>
                  <w:marTop w:val="0"/>
                  <w:marBottom w:val="0"/>
                  <w:divBdr>
                    <w:top w:val="none" w:sz="0" w:space="0" w:color="auto"/>
                    <w:left w:val="none" w:sz="0" w:space="0" w:color="auto"/>
                    <w:bottom w:val="none" w:sz="0" w:space="0" w:color="auto"/>
                    <w:right w:val="none" w:sz="0" w:space="0" w:color="auto"/>
                  </w:divBdr>
                </w:div>
              </w:divsChild>
            </w:div>
            <w:div w:id="1651053715">
              <w:marLeft w:val="0"/>
              <w:marRight w:val="0"/>
              <w:marTop w:val="0"/>
              <w:marBottom w:val="0"/>
              <w:divBdr>
                <w:top w:val="none" w:sz="0" w:space="0" w:color="auto"/>
                <w:left w:val="none" w:sz="0" w:space="0" w:color="auto"/>
                <w:bottom w:val="none" w:sz="0" w:space="0" w:color="auto"/>
                <w:right w:val="none" w:sz="0" w:space="0" w:color="auto"/>
              </w:divBdr>
              <w:divsChild>
                <w:div w:id="2097439483">
                  <w:marLeft w:val="0"/>
                  <w:marRight w:val="0"/>
                  <w:marTop w:val="0"/>
                  <w:marBottom w:val="0"/>
                  <w:divBdr>
                    <w:top w:val="none" w:sz="0" w:space="0" w:color="auto"/>
                    <w:left w:val="none" w:sz="0" w:space="0" w:color="auto"/>
                    <w:bottom w:val="none" w:sz="0" w:space="0" w:color="auto"/>
                    <w:right w:val="none" w:sz="0" w:space="0" w:color="auto"/>
                  </w:divBdr>
                </w:div>
              </w:divsChild>
            </w:div>
            <w:div w:id="2031757881">
              <w:marLeft w:val="0"/>
              <w:marRight w:val="0"/>
              <w:marTop w:val="0"/>
              <w:marBottom w:val="0"/>
              <w:divBdr>
                <w:top w:val="none" w:sz="0" w:space="0" w:color="auto"/>
                <w:left w:val="none" w:sz="0" w:space="0" w:color="auto"/>
                <w:bottom w:val="none" w:sz="0" w:space="0" w:color="auto"/>
                <w:right w:val="none" w:sz="0" w:space="0" w:color="auto"/>
              </w:divBdr>
              <w:divsChild>
                <w:div w:id="13485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938955">
      <w:bodyDiv w:val="1"/>
      <w:marLeft w:val="0"/>
      <w:marRight w:val="0"/>
      <w:marTop w:val="0"/>
      <w:marBottom w:val="0"/>
      <w:divBdr>
        <w:top w:val="none" w:sz="0" w:space="0" w:color="auto"/>
        <w:left w:val="none" w:sz="0" w:space="0" w:color="auto"/>
        <w:bottom w:val="none" w:sz="0" w:space="0" w:color="auto"/>
        <w:right w:val="none" w:sz="0" w:space="0" w:color="auto"/>
      </w:divBdr>
    </w:div>
    <w:div w:id="1383213433">
      <w:bodyDiv w:val="1"/>
      <w:marLeft w:val="0"/>
      <w:marRight w:val="0"/>
      <w:marTop w:val="0"/>
      <w:marBottom w:val="0"/>
      <w:divBdr>
        <w:top w:val="none" w:sz="0" w:space="0" w:color="auto"/>
        <w:left w:val="none" w:sz="0" w:space="0" w:color="auto"/>
        <w:bottom w:val="none" w:sz="0" w:space="0" w:color="auto"/>
        <w:right w:val="none" w:sz="0" w:space="0" w:color="auto"/>
      </w:divBdr>
      <w:divsChild>
        <w:div w:id="71894425">
          <w:marLeft w:val="0"/>
          <w:marRight w:val="0"/>
          <w:marTop w:val="0"/>
          <w:marBottom w:val="0"/>
          <w:divBdr>
            <w:top w:val="none" w:sz="0" w:space="0" w:color="auto"/>
            <w:left w:val="none" w:sz="0" w:space="0" w:color="auto"/>
            <w:bottom w:val="none" w:sz="0" w:space="0" w:color="auto"/>
            <w:right w:val="none" w:sz="0" w:space="0" w:color="auto"/>
          </w:divBdr>
          <w:divsChild>
            <w:div w:id="1242984649">
              <w:marLeft w:val="0"/>
              <w:marRight w:val="0"/>
              <w:marTop w:val="0"/>
              <w:marBottom w:val="0"/>
              <w:divBdr>
                <w:top w:val="none" w:sz="0" w:space="0" w:color="auto"/>
                <w:left w:val="none" w:sz="0" w:space="0" w:color="auto"/>
                <w:bottom w:val="none" w:sz="0" w:space="0" w:color="auto"/>
                <w:right w:val="none" w:sz="0" w:space="0" w:color="auto"/>
              </w:divBdr>
              <w:divsChild>
                <w:div w:id="7779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84474">
      <w:bodyDiv w:val="1"/>
      <w:marLeft w:val="0"/>
      <w:marRight w:val="0"/>
      <w:marTop w:val="0"/>
      <w:marBottom w:val="0"/>
      <w:divBdr>
        <w:top w:val="none" w:sz="0" w:space="0" w:color="auto"/>
        <w:left w:val="none" w:sz="0" w:space="0" w:color="auto"/>
        <w:bottom w:val="none" w:sz="0" w:space="0" w:color="auto"/>
        <w:right w:val="none" w:sz="0" w:space="0" w:color="auto"/>
      </w:divBdr>
    </w:div>
    <w:div w:id="1948462062">
      <w:bodyDiv w:val="1"/>
      <w:marLeft w:val="0"/>
      <w:marRight w:val="0"/>
      <w:marTop w:val="0"/>
      <w:marBottom w:val="0"/>
      <w:divBdr>
        <w:top w:val="none" w:sz="0" w:space="0" w:color="auto"/>
        <w:left w:val="none" w:sz="0" w:space="0" w:color="auto"/>
        <w:bottom w:val="none" w:sz="0" w:space="0" w:color="auto"/>
        <w:right w:val="none" w:sz="0" w:space="0" w:color="auto"/>
      </w:divBdr>
      <w:divsChild>
        <w:div w:id="315497497">
          <w:marLeft w:val="0"/>
          <w:marRight w:val="0"/>
          <w:marTop w:val="0"/>
          <w:marBottom w:val="0"/>
          <w:divBdr>
            <w:top w:val="none" w:sz="0" w:space="0" w:color="auto"/>
            <w:left w:val="none" w:sz="0" w:space="0" w:color="auto"/>
            <w:bottom w:val="none" w:sz="0" w:space="0" w:color="auto"/>
            <w:right w:val="none" w:sz="0" w:space="0" w:color="auto"/>
          </w:divBdr>
          <w:divsChild>
            <w:div w:id="1754007146">
              <w:marLeft w:val="0"/>
              <w:marRight w:val="0"/>
              <w:marTop w:val="0"/>
              <w:marBottom w:val="0"/>
              <w:divBdr>
                <w:top w:val="none" w:sz="0" w:space="0" w:color="auto"/>
                <w:left w:val="none" w:sz="0" w:space="0" w:color="auto"/>
                <w:bottom w:val="none" w:sz="0" w:space="0" w:color="auto"/>
                <w:right w:val="none" w:sz="0" w:space="0" w:color="auto"/>
              </w:divBdr>
              <w:divsChild>
                <w:div w:id="4543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00402">
          <w:marLeft w:val="0"/>
          <w:marRight w:val="0"/>
          <w:marTop w:val="0"/>
          <w:marBottom w:val="0"/>
          <w:divBdr>
            <w:top w:val="none" w:sz="0" w:space="0" w:color="auto"/>
            <w:left w:val="none" w:sz="0" w:space="0" w:color="auto"/>
            <w:bottom w:val="none" w:sz="0" w:space="0" w:color="auto"/>
            <w:right w:val="none" w:sz="0" w:space="0" w:color="auto"/>
          </w:divBdr>
          <w:divsChild>
            <w:div w:id="398359839">
              <w:marLeft w:val="0"/>
              <w:marRight w:val="0"/>
              <w:marTop w:val="0"/>
              <w:marBottom w:val="0"/>
              <w:divBdr>
                <w:top w:val="none" w:sz="0" w:space="0" w:color="auto"/>
                <w:left w:val="none" w:sz="0" w:space="0" w:color="auto"/>
                <w:bottom w:val="none" w:sz="0" w:space="0" w:color="auto"/>
                <w:right w:val="none" w:sz="0" w:space="0" w:color="auto"/>
              </w:divBdr>
              <w:divsChild>
                <w:div w:id="295961107">
                  <w:marLeft w:val="0"/>
                  <w:marRight w:val="0"/>
                  <w:marTop w:val="0"/>
                  <w:marBottom w:val="0"/>
                  <w:divBdr>
                    <w:top w:val="none" w:sz="0" w:space="0" w:color="auto"/>
                    <w:left w:val="none" w:sz="0" w:space="0" w:color="auto"/>
                    <w:bottom w:val="none" w:sz="0" w:space="0" w:color="auto"/>
                    <w:right w:val="none" w:sz="0" w:space="0" w:color="auto"/>
                  </w:divBdr>
                </w:div>
              </w:divsChild>
            </w:div>
            <w:div w:id="1893538506">
              <w:marLeft w:val="0"/>
              <w:marRight w:val="0"/>
              <w:marTop w:val="0"/>
              <w:marBottom w:val="0"/>
              <w:divBdr>
                <w:top w:val="none" w:sz="0" w:space="0" w:color="auto"/>
                <w:left w:val="none" w:sz="0" w:space="0" w:color="auto"/>
                <w:bottom w:val="none" w:sz="0" w:space="0" w:color="auto"/>
                <w:right w:val="none" w:sz="0" w:space="0" w:color="auto"/>
              </w:divBdr>
              <w:divsChild>
                <w:div w:id="108903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DP7550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7550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/sftpecos/Dossiers_parlementaires/7550/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FE4020D-529C-46BB-A967-3579C2B57B7E}"/>
</file>

<file path=customXml/itemProps2.xml><?xml version="1.0" encoding="utf-8"?>
<ds:datastoreItem xmlns:ds="http://schemas.openxmlformats.org/officeDocument/2006/customXml" ds:itemID="{F4DEE2AA-9DD2-46C0-9032-0CBF895137AC}"/>
</file>

<file path=customXml/itemProps3.xml><?xml version="1.0" encoding="utf-8"?>
<ds:datastoreItem xmlns:ds="http://schemas.openxmlformats.org/officeDocument/2006/customXml" ds:itemID="{8D84BDF9-00CB-40DF-B3A4-65DB1336AF42}"/>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2782</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