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1B" w:rsidRPr="00BA6E1B" w:rsidRDefault="00BA6E1B" w:rsidP="00BA6E1B">
      <w:pPr>
        <w:spacing w:line="276" w:lineRule="auto"/>
        <w:jc w:val="center"/>
        <w:rPr>
          <w:rStyle w:val="markedcontent"/>
          <w:rFonts w:cs="Arial"/>
          <w:b/>
          <w:bCs/>
          <w:u w:val="single"/>
        </w:rPr>
      </w:pPr>
      <w:bookmarkStart w:id="0" w:name="_GoBack"/>
      <w:bookmarkEnd w:id="0"/>
      <w:r w:rsidRPr="00BA6E1B">
        <w:rPr>
          <w:rStyle w:val="markedcontent"/>
          <w:rFonts w:cs="Arial"/>
          <w:b/>
          <w:bCs/>
          <w:u w:val="single"/>
        </w:rPr>
        <w:t>Synthèse du projet de loi 7533A</w:t>
      </w:r>
    </w:p>
    <w:p w:rsidR="00BA6E1B" w:rsidRDefault="00BA6E1B" w:rsidP="00BA6E1B">
      <w:pPr>
        <w:spacing w:line="276" w:lineRule="auto"/>
        <w:rPr>
          <w:rStyle w:val="markedcontent"/>
          <w:rFonts w:cs="Arial"/>
        </w:rPr>
      </w:pPr>
    </w:p>
    <w:p w:rsidR="00BA6E1B" w:rsidRPr="004174F3" w:rsidRDefault="00BA6E1B" w:rsidP="00BA6E1B">
      <w:pPr>
        <w:spacing w:line="276" w:lineRule="auto"/>
        <w:rPr>
          <w:rStyle w:val="markedcontent"/>
          <w:rFonts w:cs="Arial"/>
        </w:rPr>
      </w:pPr>
      <w:r w:rsidRPr="004174F3">
        <w:rPr>
          <w:rStyle w:val="markedcontent"/>
          <w:rFonts w:cs="Arial"/>
        </w:rPr>
        <w:t xml:space="preserve">Le projet de loi n° 7533 a pour objet d’adapter le cadre législatif luxembourgeois afin d’assurer la transposition des dispositions de la directive (UE) 2018/1673 du Parlement européen et du Conseil du 23 octobre 2018 visant à lutter contre le blanchiment de capitaux au moyen du droit pénal (la directive UE 2018/1673). </w:t>
      </w:r>
    </w:p>
    <w:p w:rsidR="00BA6E1B" w:rsidRPr="004174F3" w:rsidRDefault="00BA6E1B" w:rsidP="00BA6E1B">
      <w:pPr>
        <w:spacing w:line="276" w:lineRule="auto"/>
        <w:rPr>
          <w:rFonts w:cs="Arial"/>
        </w:rPr>
      </w:pPr>
    </w:p>
    <w:p w:rsidR="00BA6E1B" w:rsidRPr="004174F3" w:rsidRDefault="00BA6E1B" w:rsidP="00BA6E1B">
      <w:pPr>
        <w:spacing w:line="276" w:lineRule="auto"/>
        <w:rPr>
          <w:rFonts w:eastAsia="Times New Roman" w:cs="Arial"/>
          <w:lang w:eastAsia="fr-LU"/>
        </w:rPr>
      </w:pPr>
      <w:r w:rsidRPr="004174F3">
        <w:rPr>
          <w:rFonts w:eastAsia="Times New Roman" w:cs="Arial"/>
          <w:lang w:eastAsia="fr-LU"/>
        </w:rPr>
        <w:t xml:space="preserve">Au cours de la procédure législative, un amendement parlementaire a été adopté le 22 octobre 2020 en vue de modifier l’article 506-4 du Code pénal pour introduire un régime qui établit une distinction dans la poursuite des infractions selon la nature des activités de blanchiment énumérées à l’article 506-1 du Code pénal. L’opposition formelle de la part du Conseil d’Etat, l’impossibilité de trouver un accord sur le texte de l’article 506-4 et la date butoir de transposition des dispositions de la directive ayant été le 3 décembre 2020, ont conduit à la scission du projet de loi. </w:t>
      </w:r>
    </w:p>
    <w:p w:rsidR="00BA6E1B" w:rsidRPr="004174F3" w:rsidRDefault="00BA6E1B" w:rsidP="00BA6E1B">
      <w:pPr>
        <w:spacing w:line="276" w:lineRule="auto"/>
        <w:rPr>
          <w:rFonts w:eastAsia="Times New Roman" w:cs="Arial"/>
          <w:lang w:eastAsia="fr-LU"/>
        </w:rPr>
      </w:pPr>
    </w:p>
    <w:p w:rsidR="00BA6E1B" w:rsidRPr="004174F3" w:rsidRDefault="00BA6E1B" w:rsidP="00BA6E1B">
      <w:pPr>
        <w:spacing w:line="276" w:lineRule="auto"/>
        <w:rPr>
          <w:rFonts w:eastAsia="Times New Roman" w:cs="Arial"/>
          <w:lang w:eastAsia="fr-LU"/>
        </w:rPr>
      </w:pPr>
      <w:r w:rsidRPr="004174F3">
        <w:rPr>
          <w:rFonts w:eastAsia="Times New Roman" w:cs="Arial"/>
          <w:lang w:eastAsia="fr-LU"/>
        </w:rPr>
        <w:t xml:space="preserve">Ainsi, le projet de loi n° 7533A reprend les dispositions de la directive 2018/1673 ayant été entérinées par le Conseil d’Etat tandis que le projet de loi n° 7533B ne vise que le texte des articles 506-1 et 506-4 du Code pénal ainsi que les dispositions concernées de la loi modifiée du 19 février 1973 concernant la vente de substances médicamenteuses et la lutte contre la toxicomanie. </w:t>
      </w:r>
    </w:p>
    <w:p w:rsidR="00BA6E1B" w:rsidRPr="004174F3" w:rsidRDefault="00BA6E1B" w:rsidP="00BA6E1B">
      <w:pPr>
        <w:spacing w:line="276" w:lineRule="auto"/>
        <w:rPr>
          <w:rFonts w:eastAsia="Times New Roman" w:cs="Arial"/>
          <w:lang w:eastAsia="fr-LU"/>
        </w:rPr>
      </w:pPr>
    </w:p>
    <w:p w:rsidR="00BA6E1B" w:rsidRPr="004174F3" w:rsidRDefault="00BA6E1B" w:rsidP="00BA6E1B">
      <w:pPr>
        <w:spacing w:line="276" w:lineRule="auto"/>
        <w:rPr>
          <w:rStyle w:val="markedcontent"/>
          <w:rFonts w:cs="Arial"/>
        </w:rPr>
      </w:pPr>
      <w:r w:rsidRPr="004174F3">
        <w:rPr>
          <w:rStyle w:val="markedcontent"/>
          <w:rFonts w:cs="Arial"/>
        </w:rPr>
        <w:t xml:space="preserve">D’une manière générale, la législation luxembourgeoise est dans une large mesure déjà conforme aux dispositions de la directive (UE) 2018/1673. Le projet de loi n° 7533A se limite donc à adapter certains articles du Code pénal ainsi que du Code de procédure pénale afin de satisfaire aux exigences de la directive. </w:t>
      </w:r>
    </w:p>
    <w:p w:rsidR="00BA6E1B" w:rsidRPr="004174F3" w:rsidRDefault="00BA6E1B" w:rsidP="00BA6E1B">
      <w:pPr>
        <w:spacing w:line="276" w:lineRule="auto"/>
        <w:rPr>
          <w:rStyle w:val="markedcontent"/>
          <w:rFonts w:cs="Arial"/>
        </w:rPr>
      </w:pPr>
    </w:p>
    <w:p w:rsidR="00BA6E1B" w:rsidRPr="004174F3" w:rsidRDefault="00BA6E1B" w:rsidP="00BA6E1B">
      <w:pPr>
        <w:spacing w:line="276" w:lineRule="auto"/>
        <w:rPr>
          <w:rFonts w:cs="Arial"/>
        </w:rPr>
      </w:pPr>
      <w:r w:rsidRPr="004174F3">
        <w:rPr>
          <w:rStyle w:val="markedcontent"/>
          <w:rFonts w:cs="Arial"/>
        </w:rPr>
        <w:t>Il en est ainsi de l’article 31 du Code pénal qui règle la confiscation spéciale et de l’article 506-5 du Code pénal qui est complété par une disposition relative à une circonstance aggravante, à savoir la participation ou la complicité d’un « </w:t>
      </w:r>
      <w:r w:rsidRPr="004174F3">
        <w:rPr>
          <w:rStyle w:val="markedcontent"/>
          <w:rFonts w:cs="Arial"/>
          <w:i/>
          <w:iCs/>
        </w:rPr>
        <w:t>professionnel</w:t>
      </w:r>
      <w:r w:rsidRPr="004174F3">
        <w:rPr>
          <w:rStyle w:val="markedcontent"/>
          <w:rFonts w:cs="Arial"/>
        </w:rPr>
        <w:t> » au sens de la loi modifiée du 12 novembre 2004 relative au blanchiment</w:t>
      </w:r>
      <w:r w:rsidRPr="004174F3">
        <w:rPr>
          <w:rFonts w:cs="Arial"/>
        </w:rPr>
        <w:t xml:space="preserve"> et contre le financement du terrorisme, à un acte de blanchiment. A l’article 506-8 du Code pénal, la jurisprudence selon laquelle tous les éléments de preuve ne doivent pas être livrés dans tous les détails par rapport à l’infraction primaire afin de prononcer une condamnation pour blanchiment est entérinée.</w:t>
      </w:r>
    </w:p>
    <w:p w:rsidR="00BA6E1B" w:rsidRPr="004174F3" w:rsidRDefault="00BA6E1B" w:rsidP="00BA6E1B">
      <w:pPr>
        <w:spacing w:line="276" w:lineRule="auto"/>
        <w:rPr>
          <w:rFonts w:cs="Arial"/>
        </w:rPr>
      </w:pPr>
    </w:p>
    <w:p w:rsidR="00BA6E1B" w:rsidRPr="004174F3" w:rsidRDefault="00BA6E1B" w:rsidP="00BA6E1B">
      <w:pPr>
        <w:spacing w:line="276" w:lineRule="auto"/>
        <w:rPr>
          <w:rStyle w:val="markedcontent"/>
          <w:rFonts w:cs="Arial"/>
        </w:rPr>
      </w:pPr>
      <w:r w:rsidRPr="004174F3">
        <w:rPr>
          <w:rFonts w:cs="Arial"/>
        </w:rPr>
        <w:t xml:space="preserve">Dans le Code de procédure pénale, l’article 5-1 est complété par un alinéa afin de permettre la poursuite </w:t>
      </w:r>
      <w:r w:rsidRPr="004174F3">
        <w:rPr>
          <w:rStyle w:val="markedcontent"/>
          <w:rFonts w:cs="Arial"/>
        </w:rPr>
        <w:t>au Grand-Duché de Luxembourg de l’auteur d’un blanchiment lorsque l’infraction primaire a été commise à l’étranger où elle n’est pas punissable par un étranger qui n’est pas résident ou qui n’a pas été interpellé au Grand-Duché de Luxembourg.</w:t>
      </w:r>
      <w:r w:rsidRPr="004174F3">
        <w:rPr>
          <w:rFonts w:cs="Arial"/>
        </w:rPr>
        <w:t xml:space="preserve"> </w:t>
      </w:r>
    </w:p>
    <w:p w:rsidR="002D5A5C" w:rsidRDefault="002D5A5C"/>
    <w:sectPr w:rsidR="002D5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E1B"/>
    <w:rsid w:val="00033411"/>
    <w:rsid w:val="002D5A5C"/>
    <w:rsid w:val="00360D44"/>
    <w:rsid w:val="00714B49"/>
    <w:rsid w:val="00B61E37"/>
    <w:rsid w:val="00BA6E1B"/>
    <w:rsid w:val="00C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FA1EF7-F8B0-4D37-B0B2-631FAAD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E1B"/>
    <w:pPr>
      <w:jc w:val="both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BA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DP7533A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7533A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/sftpecos/Dossiers_parlementaires/7533A/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14BC5A54-B50B-434B-9B1E-7EE7B956E7B1}"/>
</file>

<file path=customXml/itemProps2.xml><?xml version="1.0" encoding="utf-8"?>
<ds:datastoreItem xmlns:ds="http://schemas.openxmlformats.org/officeDocument/2006/customXml" ds:itemID="{FDAB4B7B-458D-4F39-AFA3-5D086ED6531C}"/>
</file>

<file path=customXml/itemProps3.xml><?xml version="1.0" encoding="utf-8"?>
<ds:datastoreItem xmlns:ds="http://schemas.openxmlformats.org/officeDocument/2006/customXml" ds:itemID="{471A2154-008B-4BB7-A4DE-D3187C8E6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Christophe LI</dc:creator>
  <cp:keywords/>
  <dc:description/>
  <cp:lastModifiedBy>SYSTEM</cp:lastModifiedBy>
  <cp:revision>2</cp:revision>
  <dcterms:created xsi:type="dcterms:W3CDTF">2024-02-21T07:58:00Z</dcterms:created>
  <dcterms:modified xsi:type="dcterms:W3CDTF">2024-02-21T07:58:00Z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