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CEF" w:rsidRPr="009237C5" w:rsidRDefault="00022CEF" w:rsidP="00022CEF">
      <w:pPr>
        <w:tabs>
          <w:tab w:val="left" w:pos="4451"/>
        </w:tabs>
        <w:autoSpaceDE w:val="0"/>
        <w:autoSpaceDN w:val="0"/>
        <w:adjustRightInd w:val="0"/>
        <w:jc w:val="center"/>
        <w:rPr>
          <w:rFonts w:cs="Arial"/>
          <w:b/>
          <w:bCs/>
          <w:sz w:val="28"/>
          <w:szCs w:val="28"/>
        </w:rPr>
      </w:pPr>
      <w:bookmarkStart w:id="0" w:name="_GoBack"/>
      <w:bookmarkEnd w:id="0"/>
      <w:r w:rsidRPr="009237C5">
        <w:rPr>
          <w:rFonts w:cs="Arial"/>
          <w:b/>
          <w:bCs/>
          <w:sz w:val="28"/>
          <w:szCs w:val="28"/>
        </w:rPr>
        <w:t xml:space="preserve">N° </w:t>
      </w:r>
      <w:r>
        <w:rPr>
          <w:rFonts w:cs="Arial"/>
          <w:b/>
          <w:bCs/>
          <w:sz w:val="28"/>
          <w:szCs w:val="28"/>
        </w:rPr>
        <w:t>7529</w:t>
      </w:r>
    </w:p>
    <w:p w:rsidR="00022CEF" w:rsidRPr="009237C5" w:rsidRDefault="00022CEF" w:rsidP="00022CEF">
      <w:pPr>
        <w:autoSpaceDE w:val="0"/>
        <w:autoSpaceDN w:val="0"/>
        <w:adjustRightInd w:val="0"/>
        <w:jc w:val="center"/>
        <w:rPr>
          <w:rFonts w:cs="Arial"/>
          <w:b/>
          <w:bCs/>
          <w:sz w:val="16"/>
          <w:szCs w:val="16"/>
        </w:rPr>
      </w:pPr>
    </w:p>
    <w:p w:rsidR="00022CEF" w:rsidRPr="009237C5" w:rsidRDefault="00022CEF" w:rsidP="00022CEF">
      <w:pPr>
        <w:autoSpaceDE w:val="0"/>
        <w:autoSpaceDN w:val="0"/>
        <w:adjustRightInd w:val="0"/>
        <w:jc w:val="center"/>
        <w:rPr>
          <w:rFonts w:cs="Arial"/>
          <w:bCs/>
          <w:sz w:val="28"/>
          <w:szCs w:val="28"/>
        </w:rPr>
      </w:pPr>
      <w:r>
        <w:rPr>
          <w:rFonts w:cs="Arial"/>
          <w:bCs/>
          <w:sz w:val="28"/>
          <w:szCs w:val="28"/>
        </w:rPr>
        <w:t>CHAMBRE DES DÉPUTÉ</w:t>
      </w:r>
      <w:r w:rsidRPr="009237C5">
        <w:rPr>
          <w:rFonts w:cs="Arial"/>
          <w:bCs/>
          <w:sz w:val="28"/>
          <w:szCs w:val="28"/>
        </w:rPr>
        <w:t>S</w:t>
      </w:r>
    </w:p>
    <w:p w:rsidR="00022CEF" w:rsidRPr="009237C5" w:rsidRDefault="00022CEF" w:rsidP="00022CEF">
      <w:pPr>
        <w:autoSpaceDE w:val="0"/>
        <w:autoSpaceDN w:val="0"/>
        <w:adjustRightInd w:val="0"/>
        <w:jc w:val="center"/>
        <w:rPr>
          <w:rFonts w:cs="Arial"/>
          <w:bCs/>
          <w:sz w:val="16"/>
          <w:szCs w:val="16"/>
        </w:rPr>
      </w:pPr>
    </w:p>
    <w:p w:rsidR="00022CEF" w:rsidRPr="009237C5" w:rsidRDefault="00022CEF" w:rsidP="00022CEF">
      <w:pPr>
        <w:autoSpaceDE w:val="0"/>
        <w:autoSpaceDN w:val="0"/>
        <w:adjustRightInd w:val="0"/>
        <w:jc w:val="center"/>
        <w:rPr>
          <w:rFonts w:cs="Arial"/>
          <w:bCs/>
          <w:szCs w:val="20"/>
        </w:rPr>
      </w:pPr>
      <w:r w:rsidRPr="009237C5">
        <w:rPr>
          <w:rFonts w:cs="Arial"/>
          <w:bCs/>
          <w:szCs w:val="20"/>
        </w:rPr>
        <w:t xml:space="preserve">Session ordinaire </w:t>
      </w:r>
      <w:r w:rsidRPr="002E53FD">
        <w:rPr>
          <w:rFonts w:cs="Arial"/>
          <w:bCs/>
          <w:szCs w:val="20"/>
        </w:rPr>
        <w:t>20</w:t>
      </w:r>
      <w:r>
        <w:rPr>
          <w:rFonts w:cs="Arial"/>
          <w:bCs/>
          <w:szCs w:val="20"/>
        </w:rPr>
        <w:t>20-2021</w:t>
      </w:r>
    </w:p>
    <w:p w:rsidR="00022CEF" w:rsidRPr="009237C5" w:rsidRDefault="00022CEF" w:rsidP="00022CEF">
      <w:pPr>
        <w:pBdr>
          <w:bottom w:val="thinThickLargeGap" w:sz="24" w:space="1" w:color="auto"/>
        </w:pBdr>
        <w:autoSpaceDE w:val="0"/>
        <w:autoSpaceDN w:val="0"/>
        <w:adjustRightInd w:val="0"/>
        <w:rPr>
          <w:rFonts w:cs="Arial"/>
          <w:b/>
          <w:bCs/>
          <w:szCs w:val="20"/>
        </w:rPr>
      </w:pPr>
    </w:p>
    <w:p w:rsidR="00022CEF" w:rsidRPr="009237C5" w:rsidRDefault="00022CEF" w:rsidP="00022CEF">
      <w:pPr>
        <w:autoSpaceDE w:val="0"/>
        <w:autoSpaceDN w:val="0"/>
        <w:adjustRightInd w:val="0"/>
        <w:rPr>
          <w:rFonts w:cs="Arial"/>
          <w:b/>
          <w:bCs/>
          <w:szCs w:val="20"/>
        </w:rPr>
      </w:pPr>
    </w:p>
    <w:p w:rsidR="00022CEF" w:rsidRPr="009237C5" w:rsidRDefault="00022CEF" w:rsidP="00022CEF">
      <w:pPr>
        <w:autoSpaceDE w:val="0"/>
        <w:autoSpaceDN w:val="0"/>
        <w:adjustRightInd w:val="0"/>
        <w:jc w:val="center"/>
        <w:rPr>
          <w:rFonts w:cs="Arial"/>
          <w:b/>
          <w:bCs/>
          <w:spacing w:val="76"/>
          <w:sz w:val="36"/>
          <w:szCs w:val="36"/>
        </w:rPr>
      </w:pPr>
      <w:r w:rsidRPr="009237C5">
        <w:rPr>
          <w:rFonts w:cs="Arial"/>
          <w:b/>
          <w:bCs/>
          <w:spacing w:val="76"/>
          <w:sz w:val="36"/>
          <w:szCs w:val="36"/>
        </w:rPr>
        <w:t>PROJET DE LOI</w:t>
      </w:r>
    </w:p>
    <w:p w:rsidR="00022CEF" w:rsidRPr="009237C5" w:rsidRDefault="00022CEF" w:rsidP="00022CEF">
      <w:pPr>
        <w:autoSpaceDE w:val="0"/>
        <w:autoSpaceDN w:val="0"/>
        <w:adjustRightInd w:val="0"/>
        <w:jc w:val="center"/>
        <w:rPr>
          <w:rFonts w:cs="Arial"/>
          <w:b/>
          <w:bCs/>
          <w:szCs w:val="20"/>
        </w:rPr>
      </w:pPr>
    </w:p>
    <w:p w:rsidR="00022CEF" w:rsidRDefault="00022CEF" w:rsidP="00022CEF">
      <w:pPr>
        <w:autoSpaceDE w:val="0"/>
        <w:autoSpaceDN w:val="0"/>
        <w:adjustRightInd w:val="0"/>
        <w:jc w:val="center"/>
        <w:rPr>
          <w:rFonts w:cs="Arial"/>
          <w:b/>
          <w:bCs/>
          <w:color w:val="000000"/>
          <w:sz w:val="22"/>
          <w:szCs w:val="22"/>
          <w:lang w:val="fr-LU" w:eastAsia="fr-LU"/>
        </w:rPr>
      </w:pPr>
      <w:r w:rsidRPr="008C2D25">
        <w:rPr>
          <w:rFonts w:cs="Arial"/>
          <w:color w:val="000000"/>
          <w:sz w:val="22"/>
          <w:szCs w:val="22"/>
          <w:lang w:val="fr-LU" w:eastAsia="fr-LU"/>
        </w:rPr>
        <w:t xml:space="preserve"> </w:t>
      </w:r>
      <w:r w:rsidRPr="008C2D25">
        <w:rPr>
          <w:rFonts w:cs="Arial"/>
          <w:b/>
          <w:bCs/>
          <w:color w:val="000000"/>
          <w:sz w:val="22"/>
          <w:szCs w:val="22"/>
          <w:lang w:val="fr-LU" w:eastAsia="fr-LU"/>
        </w:rPr>
        <w:t>portant approbation de l’Accord de partenariat stratégique entre l’Union européenne et ses Etats membres, d’une part, et le Japon, d’autre part, fait à Tokyo, le 17 juillet 2018</w:t>
      </w:r>
    </w:p>
    <w:p w:rsidR="00022CEF" w:rsidRPr="008C2D25" w:rsidRDefault="00022CEF" w:rsidP="00022CEF">
      <w:pPr>
        <w:autoSpaceDE w:val="0"/>
        <w:autoSpaceDN w:val="0"/>
        <w:adjustRightInd w:val="0"/>
        <w:jc w:val="center"/>
        <w:rPr>
          <w:rFonts w:cs="Arial"/>
          <w:b/>
          <w:bCs/>
          <w:sz w:val="22"/>
          <w:szCs w:val="22"/>
          <w:lang w:eastAsia="lb-LU"/>
        </w:rPr>
      </w:pPr>
    </w:p>
    <w:p w:rsidR="00016908" w:rsidRDefault="00016908"/>
    <w:p w:rsidR="00022CEF" w:rsidRPr="00022CEF" w:rsidRDefault="00022CEF" w:rsidP="00022CEF">
      <w:pPr>
        <w:jc w:val="center"/>
        <w:rPr>
          <w:b/>
          <w:bCs/>
        </w:rPr>
      </w:pPr>
      <w:r w:rsidRPr="00022CEF">
        <w:rPr>
          <w:b/>
          <w:bCs/>
        </w:rPr>
        <w:t>RESUME</w:t>
      </w:r>
    </w:p>
    <w:p w:rsidR="00022CEF" w:rsidRDefault="00022CEF"/>
    <w:p w:rsidR="00022CEF" w:rsidRDefault="00022CEF"/>
    <w:p w:rsidR="00022CEF" w:rsidRDefault="00022CEF" w:rsidP="00022CEF">
      <w:pPr>
        <w:ind w:left="70"/>
        <w:rPr>
          <w:sz w:val="22"/>
          <w:szCs w:val="22"/>
          <w:lang w:val="fr-LU" w:eastAsia="fr-LU"/>
        </w:rPr>
      </w:pPr>
      <w:r>
        <w:rPr>
          <w:sz w:val="22"/>
          <w:szCs w:val="22"/>
          <w:lang w:val="fr-LU" w:eastAsia="fr-LU"/>
        </w:rPr>
        <w:t>Le projet de loi a comme objet d’approuver l’Accord de partenariat stratégique entre l’Union européenne et ses États membres, d’une part, et le Japon, de l’autre, signé le 17 juillet 2018 à Tokyo.</w:t>
      </w:r>
    </w:p>
    <w:p w:rsidR="00022CEF" w:rsidRDefault="00022CEF" w:rsidP="00022CEF">
      <w:pPr>
        <w:ind w:left="70"/>
        <w:rPr>
          <w:sz w:val="22"/>
          <w:szCs w:val="22"/>
          <w:lang w:val="fr-LU" w:eastAsia="fr-LU"/>
        </w:rPr>
      </w:pPr>
    </w:p>
    <w:p w:rsidR="00022CEF" w:rsidRPr="00BF72B6" w:rsidRDefault="00022CEF" w:rsidP="00022CEF">
      <w:pPr>
        <w:ind w:left="70"/>
        <w:rPr>
          <w:sz w:val="22"/>
          <w:szCs w:val="22"/>
          <w:lang w:val="fr-LU" w:eastAsia="fr-LU"/>
        </w:rPr>
      </w:pPr>
      <w:r w:rsidRPr="00BF72B6">
        <w:rPr>
          <w:sz w:val="22"/>
          <w:szCs w:val="22"/>
          <w:lang w:val="fr-LU" w:eastAsia="fr-LU"/>
        </w:rPr>
        <w:t xml:space="preserve">L’Accord de partenariat stratégique se situe au niveau le plus élevé des rapports entre l’Union européenne et des pays tiers. Ensemble avec l’Accord de partenariat économique, l’Accord de partenariat stratégique avec le Japon constitue un moment historique de coopération politique et économique bilatérale et dans la région. </w:t>
      </w:r>
    </w:p>
    <w:p w:rsidR="00022CEF" w:rsidRDefault="00022CEF" w:rsidP="00022CEF">
      <w:pPr>
        <w:autoSpaceDE w:val="0"/>
        <w:autoSpaceDN w:val="0"/>
        <w:adjustRightInd w:val="0"/>
        <w:spacing w:after="240"/>
        <w:jc w:val="center"/>
        <w:rPr>
          <w:rFonts w:cs="Arial"/>
          <w:b/>
          <w:sz w:val="22"/>
          <w:szCs w:val="22"/>
          <w:lang w:val="fr-LU"/>
        </w:rPr>
      </w:pPr>
    </w:p>
    <w:p w:rsidR="00022CEF" w:rsidRDefault="00022CEF" w:rsidP="00022CEF">
      <w:pPr>
        <w:autoSpaceDE w:val="0"/>
        <w:autoSpaceDN w:val="0"/>
        <w:adjustRightInd w:val="0"/>
        <w:spacing w:after="240"/>
        <w:jc w:val="center"/>
        <w:rPr>
          <w:rFonts w:cs="Arial"/>
          <w:b/>
          <w:sz w:val="22"/>
          <w:szCs w:val="22"/>
          <w:lang w:val="fr-LU"/>
        </w:rPr>
      </w:pPr>
      <w:r>
        <w:rPr>
          <w:rFonts w:cs="Arial"/>
          <w:b/>
          <w:sz w:val="22"/>
          <w:szCs w:val="22"/>
          <w:lang w:val="fr-LU"/>
        </w:rPr>
        <w:t>*</w:t>
      </w:r>
    </w:p>
    <w:p w:rsidR="00022CEF" w:rsidRDefault="00022CEF" w:rsidP="00022CEF">
      <w:pPr>
        <w:autoSpaceDE w:val="0"/>
        <w:autoSpaceDN w:val="0"/>
        <w:adjustRightInd w:val="0"/>
        <w:spacing w:after="240"/>
        <w:jc w:val="center"/>
        <w:rPr>
          <w:rFonts w:cs="Arial"/>
          <w:b/>
          <w:sz w:val="22"/>
          <w:szCs w:val="22"/>
          <w:lang w:val="fr-CH"/>
        </w:rPr>
      </w:pPr>
      <w:r>
        <w:rPr>
          <w:rFonts w:cs="Arial"/>
          <w:b/>
          <w:sz w:val="22"/>
          <w:szCs w:val="22"/>
          <w:lang w:val="fr-CH"/>
        </w:rPr>
        <w:t>LE CONTENU DE L’ACCORD</w:t>
      </w:r>
    </w:p>
    <w:p w:rsidR="00022CEF" w:rsidRPr="00BF72B6" w:rsidRDefault="00022CEF" w:rsidP="00022CEF">
      <w:pPr>
        <w:ind w:left="70"/>
        <w:rPr>
          <w:sz w:val="22"/>
          <w:szCs w:val="22"/>
          <w:lang w:val="fr-LU" w:eastAsia="fr-LU"/>
        </w:rPr>
      </w:pPr>
      <w:r w:rsidRPr="00BF72B6">
        <w:rPr>
          <w:sz w:val="22"/>
          <w:szCs w:val="22"/>
          <w:lang w:val="fr-LU" w:eastAsia="fr-LU"/>
        </w:rPr>
        <w:t>L’Accord se base sur les principes de la Charte des Nations unies. L’article 1</w:t>
      </w:r>
      <w:r w:rsidRPr="00BF72B6">
        <w:rPr>
          <w:sz w:val="22"/>
          <w:szCs w:val="22"/>
          <w:vertAlign w:val="superscript"/>
          <w:lang w:val="fr-LU" w:eastAsia="fr-LU"/>
        </w:rPr>
        <w:t>er</w:t>
      </w:r>
      <w:r w:rsidRPr="00BF72B6">
        <w:rPr>
          <w:sz w:val="22"/>
          <w:szCs w:val="22"/>
          <w:lang w:val="fr-LU" w:eastAsia="fr-LU"/>
        </w:rPr>
        <w:t xml:space="preserve"> retient les valeurs communes et les principes du dialogue</w:t>
      </w:r>
      <w:r>
        <w:rPr>
          <w:sz w:val="22"/>
          <w:szCs w:val="22"/>
          <w:lang w:val="fr-LU" w:eastAsia="fr-LU"/>
        </w:rPr>
        <w:t xml:space="preserve"> </w:t>
      </w:r>
      <w:r w:rsidRPr="00BF72B6">
        <w:rPr>
          <w:sz w:val="22"/>
          <w:szCs w:val="22"/>
          <w:lang w:val="fr-LU" w:eastAsia="fr-LU"/>
        </w:rPr>
        <w:t>L’article 2 est consacré aux valeurs de la démocratie, de l’</w:t>
      </w:r>
      <w:r>
        <w:rPr>
          <w:sz w:val="22"/>
          <w:szCs w:val="22"/>
          <w:lang w:val="fr-LU" w:eastAsia="fr-LU"/>
        </w:rPr>
        <w:t>É</w:t>
      </w:r>
      <w:r w:rsidRPr="00BF72B6">
        <w:rPr>
          <w:sz w:val="22"/>
          <w:szCs w:val="22"/>
          <w:lang w:val="fr-LU" w:eastAsia="fr-LU"/>
        </w:rPr>
        <w:t>tat de droit, des droits de l’homme et les libertés fondamentales. Le Japon n’a pas encore aboli la peine de mort, point régulièrement soulevé par l’UE au cours des échanges</w:t>
      </w:r>
      <w:r>
        <w:rPr>
          <w:sz w:val="22"/>
          <w:szCs w:val="22"/>
          <w:lang w:val="fr-LU" w:eastAsia="fr-LU"/>
        </w:rPr>
        <w:t>. L</w:t>
      </w:r>
      <w:r w:rsidRPr="00BF72B6">
        <w:rPr>
          <w:sz w:val="22"/>
          <w:szCs w:val="22"/>
          <w:lang w:val="fr-LU" w:eastAsia="fr-LU"/>
        </w:rPr>
        <w:t>’article 10</w:t>
      </w:r>
      <w:r w:rsidRPr="00100CE8">
        <w:rPr>
          <w:color w:val="000000"/>
          <w:szCs w:val="20"/>
        </w:rPr>
        <w:t xml:space="preserve"> </w:t>
      </w:r>
      <w:r w:rsidRPr="00100CE8">
        <w:rPr>
          <w:color w:val="000000"/>
          <w:sz w:val="22"/>
          <w:szCs w:val="22"/>
        </w:rPr>
        <w:t>est consacré à la coopération et des consultations efficaces dans les enceintes multilatérales, régionales et internationales</w:t>
      </w:r>
      <w:r>
        <w:rPr>
          <w:color w:val="000000"/>
          <w:sz w:val="22"/>
          <w:szCs w:val="22"/>
        </w:rPr>
        <w:t>,</w:t>
      </w:r>
      <w:r w:rsidRPr="00100CE8">
        <w:rPr>
          <w:color w:val="000000"/>
          <w:sz w:val="22"/>
          <w:szCs w:val="22"/>
        </w:rPr>
        <w:t xml:space="preserve"> tout en promouvant la réforme des Nations Unies</w:t>
      </w:r>
      <w:r w:rsidRPr="00BF72B6">
        <w:rPr>
          <w:sz w:val="22"/>
          <w:szCs w:val="22"/>
          <w:lang w:val="fr-LU" w:eastAsia="fr-LU"/>
        </w:rPr>
        <w:t>.</w:t>
      </w:r>
    </w:p>
    <w:p w:rsidR="00022CEF" w:rsidRPr="00BF72B6" w:rsidRDefault="00022CEF" w:rsidP="00022CEF">
      <w:pPr>
        <w:ind w:left="70"/>
        <w:rPr>
          <w:sz w:val="22"/>
          <w:szCs w:val="22"/>
          <w:lang w:val="fr-LU" w:eastAsia="fr-LU"/>
        </w:rPr>
      </w:pPr>
    </w:p>
    <w:p w:rsidR="00022CEF" w:rsidRPr="00BF72B6" w:rsidRDefault="00022CEF" w:rsidP="00022CEF">
      <w:pPr>
        <w:ind w:left="70"/>
        <w:rPr>
          <w:sz w:val="22"/>
          <w:szCs w:val="22"/>
          <w:lang w:val="fr-LU" w:eastAsia="fr-LU"/>
        </w:rPr>
      </w:pPr>
      <w:r w:rsidRPr="00BF72B6">
        <w:rPr>
          <w:sz w:val="22"/>
          <w:szCs w:val="22"/>
          <w:lang w:val="fr-LU" w:eastAsia="fr-LU"/>
        </w:rPr>
        <w:t>Les articles suivants mentionnent les échanges dans les différents champs d’application : politique de développement et d’aide humanitaire (articles 11 et 12), coopération économique, industrielle et fiscale (articles 13 à 22), politique et règlementations environnementales (articles 23), changement climatique (article 24), politique urbaine (article 25), énergie (article 26), agriculture (article 27), pêche (article 28), affaires maritimes (article 29), emploi et affaires sociales (article 30) et santé (article 31). Les articles 32 à 39 traitent des questions de justice, de liberté et de sécurité. L’article 40 est dédié à l’éducation, la jeunesse et des sports, l’article 41 à la culture.</w:t>
      </w:r>
    </w:p>
    <w:p w:rsidR="00022CEF" w:rsidRPr="00BF72B6" w:rsidRDefault="00022CEF" w:rsidP="00022CEF">
      <w:pPr>
        <w:ind w:left="70"/>
        <w:rPr>
          <w:sz w:val="22"/>
          <w:szCs w:val="22"/>
          <w:lang w:val="fr-LU" w:eastAsia="fr-LU"/>
        </w:rPr>
      </w:pPr>
    </w:p>
    <w:p w:rsidR="00022CEF" w:rsidRDefault="00022CEF" w:rsidP="00022CEF">
      <w:pPr>
        <w:ind w:left="70"/>
        <w:rPr>
          <w:sz w:val="22"/>
          <w:szCs w:val="22"/>
          <w:lang w:val="fr-LU" w:eastAsia="fr-LU"/>
        </w:rPr>
      </w:pPr>
      <w:r>
        <w:rPr>
          <w:sz w:val="22"/>
          <w:szCs w:val="22"/>
          <w:lang w:val="fr-LU" w:eastAsia="fr-LU"/>
        </w:rPr>
        <w:t xml:space="preserve">L’article 42 met en place un comité mixte qui </w:t>
      </w:r>
      <w:r w:rsidRPr="00296FD2">
        <w:rPr>
          <w:sz w:val="22"/>
          <w:szCs w:val="22"/>
          <w:lang w:val="fr-LU" w:eastAsia="fr-LU"/>
        </w:rPr>
        <w:t>coordonnera le partenariat dans son ensemble et donnera une orientation stratégique à la coopération.</w:t>
      </w:r>
      <w:r>
        <w:rPr>
          <w:color w:val="FF0000"/>
          <w:sz w:val="22"/>
          <w:szCs w:val="22"/>
          <w:lang w:val="fr-LU" w:eastAsia="fr-LU"/>
        </w:rPr>
        <w:t xml:space="preserve"> </w:t>
      </w:r>
      <w:r w:rsidRPr="00BF72B6">
        <w:rPr>
          <w:sz w:val="22"/>
          <w:szCs w:val="22"/>
          <w:lang w:val="fr-LU" w:eastAsia="fr-LU"/>
        </w:rPr>
        <w:t>L’article 4</w:t>
      </w:r>
      <w:r>
        <w:rPr>
          <w:sz w:val="22"/>
          <w:szCs w:val="22"/>
          <w:lang w:val="fr-LU" w:eastAsia="fr-LU"/>
        </w:rPr>
        <w:t>3</w:t>
      </w:r>
      <w:r w:rsidRPr="00BF72B6">
        <w:rPr>
          <w:sz w:val="22"/>
          <w:szCs w:val="22"/>
          <w:lang w:val="fr-LU" w:eastAsia="fr-LU"/>
        </w:rPr>
        <w:t xml:space="preserve"> </w:t>
      </w:r>
      <w:r>
        <w:rPr>
          <w:sz w:val="22"/>
          <w:szCs w:val="22"/>
          <w:lang w:val="fr-LU" w:eastAsia="fr-LU"/>
        </w:rPr>
        <w:t xml:space="preserve">concerne la procédure du règlement des différends et </w:t>
      </w:r>
      <w:r w:rsidRPr="00BF72B6">
        <w:rPr>
          <w:sz w:val="22"/>
          <w:szCs w:val="22"/>
          <w:lang w:val="fr-LU" w:eastAsia="fr-LU"/>
        </w:rPr>
        <w:t>prévoit la possibilité de sanctions en cas de non-respect des dispositions de l’Accord, l’article 48 celle d’une suspension unilatérale.</w:t>
      </w:r>
    </w:p>
    <w:p w:rsidR="00022CEF" w:rsidRPr="00BF72B6" w:rsidRDefault="00022CEF" w:rsidP="00022CEF">
      <w:pPr>
        <w:rPr>
          <w:sz w:val="22"/>
          <w:szCs w:val="22"/>
          <w:lang w:val="fr-LU" w:eastAsia="fr-LU"/>
        </w:rPr>
      </w:pPr>
    </w:p>
    <w:p w:rsidR="00022CEF" w:rsidRDefault="00022CEF" w:rsidP="00022CEF">
      <w:pPr>
        <w:ind w:left="70"/>
        <w:rPr>
          <w:sz w:val="22"/>
          <w:szCs w:val="22"/>
          <w:lang w:val="fr-LU" w:eastAsia="fr-LU"/>
        </w:rPr>
      </w:pPr>
      <w:r w:rsidRPr="00BF72B6">
        <w:rPr>
          <w:sz w:val="22"/>
          <w:szCs w:val="22"/>
          <w:lang w:val="fr-LU" w:eastAsia="fr-LU"/>
        </w:rPr>
        <w:t>Les dispositions finales sont énumérées aux articles 45 à 51.</w:t>
      </w:r>
    </w:p>
    <w:p w:rsidR="00022CEF" w:rsidRPr="00022CEF" w:rsidRDefault="00022CEF">
      <w:pPr>
        <w:rPr>
          <w:lang w:val="fr-LU"/>
        </w:rPr>
      </w:pPr>
    </w:p>
    <w:sectPr w:rsidR="00022CEF" w:rsidRPr="00022C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CEF"/>
    <w:rsid w:val="00016908"/>
    <w:rsid w:val="00022CEF"/>
    <w:rsid w:val="00642AF2"/>
    <w:rsid w:val="00E35D0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1AE194F-DB2A-4373-A6F2-381B2F65A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CEF"/>
    <w:pPr>
      <w:jc w:val="both"/>
    </w:pPr>
    <w:rPr>
      <w:rFonts w:ascii="Arial" w:eastAsia="Times New Roman" w:hAnsi="Arial"/>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DP7529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7529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/sftpecos/Dossiers_parlementaires/7529/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5149F2A-CB86-4145-A8F0-BB4AD99240DF}"/>
</file>

<file path=customXml/itemProps2.xml><?xml version="1.0" encoding="utf-8"?>
<ds:datastoreItem xmlns:ds="http://schemas.openxmlformats.org/officeDocument/2006/customXml" ds:itemID="{9C7D120C-CCF1-469C-A53D-7A9FC2265D4B}"/>
</file>

<file path=customXml/itemProps3.xml><?xml version="1.0" encoding="utf-8"?>
<ds:datastoreItem xmlns:ds="http://schemas.openxmlformats.org/officeDocument/2006/customXml" ds:itemID="{D54A587B-2C8C-4720-A6E0-8EE7E4835316}"/>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2112</Characters>
  <Application>Microsoft Office Word</Application>
  <DocSecurity>4</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dc:description/>
  <cp:lastModifiedBy>SYSTEM</cp:lastModifiedBy>
  <cp:revision>2</cp:revision>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