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EA" w:rsidRPr="00A5338A" w:rsidRDefault="005B27EA" w:rsidP="00471FBB">
      <w:pPr>
        <w:spacing w:after="0"/>
        <w:jc w:val="both"/>
        <w:rPr>
          <w:rFonts w:ascii="Arial" w:hAnsi="Arial" w:cs="Arial"/>
          <w:b/>
        </w:rPr>
      </w:pPr>
      <w:bookmarkStart w:id="0" w:name="_GoBack"/>
      <w:bookmarkEnd w:id="0"/>
      <w:r w:rsidRPr="00A5338A">
        <w:rPr>
          <w:rFonts w:ascii="Arial" w:hAnsi="Arial" w:cs="Arial"/>
          <w:b/>
        </w:rPr>
        <w:t>Projet de loi portant modification de</w:t>
      </w:r>
    </w:p>
    <w:p w:rsidR="005B27EA" w:rsidRPr="00A5338A" w:rsidRDefault="005B27EA" w:rsidP="00471FBB">
      <w:pPr>
        <w:spacing w:after="0"/>
        <w:jc w:val="both"/>
        <w:rPr>
          <w:rFonts w:ascii="Arial" w:hAnsi="Arial" w:cs="Arial"/>
          <w:b/>
        </w:rPr>
      </w:pPr>
      <w:r w:rsidRPr="00A5338A">
        <w:rPr>
          <w:rFonts w:ascii="Arial" w:hAnsi="Arial" w:cs="Arial"/>
          <w:b/>
        </w:rPr>
        <w:t>1° la loi modifiée du 18 décembre 2015 relative à la Norme commune de déclaration (NCD) ;</w:t>
      </w:r>
    </w:p>
    <w:p w:rsidR="005B27EA" w:rsidRPr="00A5338A" w:rsidRDefault="005B27EA" w:rsidP="00471FBB">
      <w:pPr>
        <w:spacing w:after="0"/>
        <w:jc w:val="both"/>
        <w:rPr>
          <w:rFonts w:ascii="Arial" w:hAnsi="Arial" w:cs="Arial"/>
          <w:b/>
        </w:rPr>
      </w:pPr>
      <w:r w:rsidRPr="00A5338A">
        <w:rPr>
          <w:rFonts w:ascii="Arial" w:hAnsi="Arial" w:cs="Arial"/>
          <w:b/>
        </w:rPr>
        <w:t>2° la loi modifiée du 24 juillet 2015 relative à FATCA</w:t>
      </w:r>
    </w:p>
    <w:p w:rsidR="0002273C" w:rsidRPr="009D2AE3" w:rsidRDefault="0002273C" w:rsidP="00471FBB">
      <w:pPr>
        <w:pStyle w:val="Default"/>
        <w:rPr>
          <w:rFonts w:ascii="Arial" w:eastAsia="Arial" w:hAnsi="Arial" w:cs="Arial"/>
          <w:sz w:val="22"/>
          <w:szCs w:val="22"/>
        </w:rPr>
      </w:pPr>
    </w:p>
    <w:p w:rsidR="004151A5" w:rsidRPr="004151A5" w:rsidRDefault="005B27EA" w:rsidP="004151A5">
      <w:pPr>
        <w:pStyle w:val="Commentaire"/>
        <w:jc w:val="both"/>
        <w:rPr>
          <w:rFonts w:ascii="Arial" w:hAnsi="Arial" w:cs="Arial"/>
          <w:sz w:val="22"/>
          <w:szCs w:val="22"/>
        </w:rPr>
      </w:pPr>
      <w:r w:rsidRPr="004151A5">
        <w:rPr>
          <w:rFonts w:ascii="Arial" w:hAnsi="Arial" w:cs="Arial"/>
          <w:sz w:val="22"/>
          <w:szCs w:val="22"/>
          <w:lang w:val="fr-CH"/>
        </w:rPr>
        <w:t xml:space="preserve">En 2014, l’Organisation de coopération et de développement économiques (OCDE), en collaboration avec le G20, a développé la Norme d’échange automatique de renseignements relatifs aux comptes financiers en matière fiscale (NCD). </w:t>
      </w:r>
      <w:r w:rsidR="004151A5" w:rsidRPr="004151A5">
        <w:rPr>
          <w:rFonts w:ascii="Arial" w:hAnsi="Arial" w:cs="Arial"/>
          <w:sz w:val="22"/>
          <w:szCs w:val="22"/>
        </w:rPr>
        <w:t>Les travaux de l’OCDE ont été repris par l’Union européenne et intégrés dans la directive 2014/107(UE).</w:t>
      </w:r>
    </w:p>
    <w:p w:rsidR="005B27EA" w:rsidRPr="00BA75F7" w:rsidRDefault="005B27EA" w:rsidP="005B27EA">
      <w:pPr>
        <w:spacing w:after="0"/>
        <w:jc w:val="both"/>
        <w:rPr>
          <w:rFonts w:ascii="Arial" w:hAnsi="Arial" w:cs="Arial"/>
          <w:color w:val="000000"/>
          <w:lang w:val="fr-CH"/>
        </w:rPr>
      </w:pPr>
      <w:r w:rsidRPr="005B27EA">
        <w:rPr>
          <w:rFonts w:ascii="Arial" w:hAnsi="Arial" w:cs="Arial"/>
          <w:lang w:val="fr-CH"/>
        </w:rPr>
        <w:t xml:space="preserve">Le G20 a ensuite chargé le Forum mondial sur la transparence et l’échange de renseignements à des fins fiscales de monitorer et d’évaluer la mise en œuvre de la </w:t>
      </w:r>
      <w:r w:rsidRPr="00BA75F7">
        <w:rPr>
          <w:rFonts w:ascii="Arial" w:hAnsi="Arial" w:cs="Arial"/>
          <w:color w:val="000000"/>
          <w:lang w:val="fr-CH"/>
        </w:rPr>
        <w:t>NC</w:t>
      </w:r>
      <w:r w:rsidR="004151A5" w:rsidRPr="00BA75F7">
        <w:rPr>
          <w:rFonts w:ascii="Arial" w:hAnsi="Arial" w:cs="Arial"/>
          <w:color w:val="000000"/>
          <w:lang w:val="fr-CH"/>
        </w:rPr>
        <w:t>D</w:t>
      </w:r>
      <w:r w:rsidRPr="00BA75F7">
        <w:rPr>
          <w:rFonts w:ascii="Arial" w:hAnsi="Arial" w:cs="Arial"/>
          <w:color w:val="000000"/>
          <w:lang w:val="fr-CH"/>
        </w:rPr>
        <w:t xml:space="preserve"> par les pays participants.</w:t>
      </w:r>
    </w:p>
    <w:p w:rsidR="005B27EA" w:rsidRPr="005B27EA" w:rsidRDefault="005B27EA" w:rsidP="005B27EA">
      <w:pPr>
        <w:spacing w:after="0"/>
        <w:jc w:val="both"/>
        <w:rPr>
          <w:rFonts w:ascii="Arial" w:hAnsi="Arial" w:cs="Arial"/>
          <w:lang w:val="fr-CH"/>
        </w:rPr>
      </w:pPr>
      <w:r w:rsidRPr="00BA75F7">
        <w:rPr>
          <w:rFonts w:ascii="Arial" w:hAnsi="Arial" w:cs="Arial"/>
          <w:color w:val="000000"/>
          <w:lang w:val="fr-CH"/>
        </w:rPr>
        <w:br/>
        <w:t>Le suivi et l’évaluation de l’application de la NCD se fait par l’approche par étape. Lors de l’examen de l’étape concernant le cadre législatif, le Forum mondial a constaté que le Luxembourg ne se trouve pas en conformité avec tous les aspects essentiels de la NCD étant donné que la loi modifiée du 18 décembre 2015 relative à la Norme commune de déclaration (loi NC</w:t>
      </w:r>
      <w:r w:rsidR="004151A5" w:rsidRPr="00BA75F7">
        <w:rPr>
          <w:rFonts w:ascii="Arial" w:hAnsi="Arial" w:cs="Arial"/>
          <w:color w:val="000000"/>
          <w:lang w:val="fr-CH"/>
        </w:rPr>
        <w:t>D</w:t>
      </w:r>
      <w:r w:rsidRPr="005B27EA">
        <w:rPr>
          <w:rFonts w:ascii="Arial" w:hAnsi="Arial" w:cs="Arial"/>
          <w:lang w:val="fr-CH"/>
        </w:rPr>
        <w:t>) ne prévoit aucune disposition pour obliger les Institutions financières déclarantes luxembourgeoises à conserver des registres des actions engagées et des éléments probants utilisés en vue d’assurer l’exécution des obligations de déclaration et de diligence raisonnable sous la NCD.</w:t>
      </w:r>
    </w:p>
    <w:p w:rsidR="005B27EA" w:rsidRPr="005B27EA" w:rsidRDefault="005B27EA" w:rsidP="005B27EA">
      <w:pPr>
        <w:spacing w:after="0"/>
        <w:jc w:val="both"/>
        <w:rPr>
          <w:rFonts w:ascii="Arial" w:hAnsi="Arial" w:cs="Arial"/>
          <w:lang w:val="fr-CH"/>
        </w:rPr>
      </w:pPr>
    </w:p>
    <w:p w:rsidR="005B27EA" w:rsidRPr="005B27EA" w:rsidRDefault="005B27EA" w:rsidP="005B27EA">
      <w:pPr>
        <w:spacing w:after="0"/>
        <w:jc w:val="both"/>
        <w:rPr>
          <w:rFonts w:ascii="Arial" w:hAnsi="Arial" w:cs="Arial"/>
          <w:lang w:val="fr-CH"/>
        </w:rPr>
      </w:pPr>
      <w:r w:rsidRPr="005B27EA">
        <w:rPr>
          <w:rFonts w:ascii="Arial" w:hAnsi="Arial" w:cs="Arial"/>
          <w:lang w:val="fr-CH"/>
        </w:rPr>
        <w:t>Partant, le présent projet de loi entend notamment modifier la loi NCD et la loi modifiée du 24 juillet 2015 relative à FATCA en ce sens</w:t>
      </w:r>
      <w:r w:rsidR="00471FBB">
        <w:rPr>
          <w:rFonts w:ascii="Arial" w:hAnsi="Arial" w:cs="Arial"/>
          <w:lang w:val="fr-CH"/>
        </w:rPr>
        <w:t xml:space="preserve"> en </w:t>
      </w:r>
      <w:r w:rsidRPr="005B27EA">
        <w:rPr>
          <w:rFonts w:ascii="Arial" w:hAnsi="Arial" w:cs="Arial"/>
          <w:lang w:val="fr-CH"/>
        </w:rPr>
        <w:t>introdui</w:t>
      </w:r>
      <w:r w:rsidR="00471FBB">
        <w:rPr>
          <w:rFonts w:ascii="Arial" w:hAnsi="Arial" w:cs="Arial"/>
          <w:lang w:val="fr-CH"/>
        </w:rPr>
        <w:t>sant</w:t>
      </w:r>
      <w:r w:rsidRPr="005B27EA">
        <w:rPr>
          <w:rFonts w:ascii="Arial" w:hAnsi="Arial" w:cs="Arial"/>
          <w:lang w:val="fr-CH"/>
        </w:rPr>
        <w:t xml:space="preserve"> une obligation explicite, pour les Institutions financières déclarantes luxembourgeoises, de conserver les registres des actions engagées et des éléments probants utilisés en vue d’assurer l’exécution des obligations de déclaration et de diligence raisonnable sous la NCD. </w:t>
      </w:r>
    </w:p>
    <w:p w:rsidR="005B27EA" w:rsidRPr="005B27EA" w:rsidRDefault="005B27EA" w:rsidP="005B27EA">
      <w:pPr>
        <w:spacing w:after="0"/>
        <w:jc w:val="both"/>
        <w:rPr>
          <w:rFonts w:ascii="Arial" w:hAnsi="Arial" w:cs="Arial"/>
          <w:lang w:val="fr-CH"/>
        </w:rPr>
      </w:pPr>
    </w:p>
    <w:p w:rsidR="005B27EA" w:rsidRPr="005B27EA" w:rsidRDefault="005B27EA" w:rsidP="005B27EA">
      <w:pPr>
        <w:spacing w:after="0"/>
        <w:jc w:val="both"/>
        <w:rPr>
          <w:rFonts w:ascii="Arial" w:hAnsi="Arial" w:cs="Arial"/>
          <w:lang w:val="fr-CH"/>
        </w:rPr>
      </w:pPr>
      <w:r w:rsidRPr="005B27EA">
        <w:rPr>
          <w:rFonts w:ascii="Arial" w:hAnsi="Arial" w:cs="Arial"/>
          <w:lang w:val="fr-CH"/>
        </w:rPr>
        <w:t>De plus, il est proposé de préciser les pouvoirs d’investigation de l’Administration des contributions directes dans ce contexte afin de renforcer la sécurité juridique.</w:t>
      </w:r>
    </w:p>
    <w:p w:rsidR="005B27EA" w:rsidRPr="00471FBB" w:rsidRDefault="005B27EA" w:rsidP="00471FBB">
      <w:pPr>
        <w:spacing w:after="0"/>
        <w:jc w:val="both"/>
        <w:rPr>
          <w:rFonts w:ascii="Arial" w:hAnsi="Arial" w:cs="Arial"/>
          <w:lang w:val="fr-CH"/>
        </w:rPr>
      </w:pPr>
    </w:p>
    <w:p w:rsidR="005B27EA" w:rsidRPr="005B27EA" w:rsidRDefault="005B27EA" w:rsidP="005B27EA">
      <w:pPr>
        <w:spacing w:after="0"/>
        <w:ind w:right="567"/>
        <w:jc w:val="both"/>
        <w:rPr>
          <w:rFonts w:ascii="Arial" w:hAnsi="Arial" w:cs="Arial"/>
          <w:b/>
          <w:bCs/>
          <w:lang w:val="fr-CH"/>
        </w:rPr>
      </w:pPr>
    </w:p>
    <w:p w:rsidR="007E2E31" w:rsidRPr="005B27EA" w:rsidRDefault="007E2E31" w:rsidP="005B27EA">
      <w:pPr>
        <w:pStyle w:val="Body"/>
        <w:widowControl w:val="0"/>
        <w:tabs>
          <w:tab w:val="num" w:pos="284"/>
        </w:tabs>
        <w:jc w:val="both"/>
        <w:rPr>
          <w:rFonts w:ascii="Arial" w:hAnsi="Arial" w:cs="Arial"/>
          <w:sz w:val="22"/>
          <w:szCs w:val="22"/>
          <w:lang w:val="fr-CH"/>
        </w:rPr>
      </w:pPr>
    </w:p>
    <w:p w:rsidR="0002273C" w:rsidRPr="00225936" w:rsidRDefault="0002273C" w:rsidP="00FF0DA5">
      <w:pPr>
        <w:pStyle w:val="Body"/>
        <w:ind w:firstLine="284"/>
        <w:jc w:val="both"/>
        <w:rPr>
          <w:rFonts w:ascii="Arial" w:eastAsia="Arial" w:hAnsi="Arial" w:cs="Arial"/>
          <w:i/>
          <w:iCs/>
          <w:color w:val="FF0000"/>
          <w:sz w:val="22"/>
          <w:szCs w:val="22"/>
          <w:lang w:val="fr-LU"/>
        </w:rPr>
      </w:pPr>
    </w:p>
    <w:sectPr w:rsidR="0002273C" w:rsidRPr="002259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9E" w:rsidRDefault="00E81D9E" w:rsidP="00EA6B89">
      <w:pPr>
        <w:spacing w:after="0" w:line="240" w:lineRule="auto"/>
      </w:pPr>
      <w:r>
        <w:separator/>
      </w:r>
    </w:p>
  </w:endnote>
  <w:endnote w:type="continuationSeparator" w:id="0">
    <w:p w:rsidR="00E81D9E" w:rsidRDefault="00E81D9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435698" w:rsidRPr="00435698">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9E" w:rsidRDefault="00E81D9E" w:rsidP="00EA6B89">
      <w:pPr>
        <w:spacing w:after="0" w:line="240" w:lineRule="auto"/>
      </w:pPr>
      <w:r>
        <w:separator/>
      </w:r>
    </w:p>
  </w:footnote>
  <w:footnote w:type="continuationSeparator" w:id="0">
    <w:p w:rsidR="00E81D9E" w:rsidRDefault="00E81D9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426A3"/>
    <w:rsid w:val="00043927"/>
    <w:rsid w:val="000762ED"/>
    <w:rsid w:val="000824C3"/>
    <w:rsid w:val="0010111B"/>
    <w:rsid w:val="0010136A"/>
    <w:rsid w:val="00113A89"/>
    <w:rsid w:val="00136B26"/>
    <w:rsid w:val="00156840"/>
    <w:rsid w:val="001800F4"/>
    <w:rsid w:val="001A1313"/>
    <w:rsid w:val="001B7997"/>
    <w:rsid w:val="001C1665"/>
    <w:rsid w:val="001C470D"/>
    <w:rsid w:val="001F0B11"/>
    <w:rsid w:val="001F1729"/>
    <w:rsid w:val="001F3C69"/>
    <w:rsid w:val="001F7136"/>
    <w:rsid w:val="002010DC"/>
    <w:rsid w:val="0021454F"/>
    <w:rsid w:val="00224919"/>
    <w:rsid w:val="00225936"/>
    <w:rsid w:val="00244018"/>
    <w:rsid w:val="00254489"/>
    <w:rsid w:val="002645EC"/>
    <w:rsid w:val="002832E5"/>
    <w:rsid w:val="002B77BA"/>
    <w:rsid w:val="002F0ADB"/>
    <w:rsid w:val="002F3B16"/>
    <w:rsid w:val="0030185F"/>
    <w:rsid w:val="00324BD0"/>
    <w:rsid w:val="00327651"/>
    <w:rsid w:val="00331B4C"/>
    <w:rsid w:val="003A403A"/>
    <w:rsid w:val="003F5E23"/>
    <w:rsid w:val="004151A5"/>
    <w:rsid w:val="00432698"/>
    <w:rsid w:val="00435698"/>
    <w:rsid w:val="00445FD4"/>
    <w:rsid w:val="00471FBB"/>
    <w:rsid w:val="0049052E"/>
    <w:rsid w:val="00495E3C"/>
    <w:rsid w:val="00495E9F"/>
    <w:rsid w:val="004B24AE"/>
    <w:rsid w:val="004D188C"/>
    <w:rsid w:val="004D57C4"/>
    <w:rsid w:val="005141A9"/>
    <w:rsid w:val="00547368"/>
    <w:rsid w:val="00587B02"/>
    <w:rsid w:val="005B27EA"/>
    <w:rsid w:val="005B5C56"/>
    <w:rsid w:val="005D67AB"/>
    <w:rsid w:val="006045F2"/>
    <w:rsid w:val="00614974"/>
    <w:rsid w:val="00615780"/>
    <w:rsid w:val="00633198"/>
    <w:rsid w:val="00647F03"/>
    <w:rsid w:val="006820B9"/>
    <w:rsid w:val="006A3C61"/>
    <w:rsid w:val="006A5B97"/>
    <w:rsid w:val="006E129F"/>
    <w:rsid w:val="006E4B03"/>
    <w:rsid w:val="00715931"/>
    <w:rsid w:val="007265A3"/>
    <w:rsid w:val="00770D5C"/>
    <w:rsid w:val="007831ED"/>
    <w:rsid w:val="007942C7"/>
    <w:rsid w:val="007A498E"/>
    <w:rsid w:val="007B2286"/>
    <w:rsid w:val="007C4E6A"/>
    <w:rsid w:val="007E2E31"/>
    <w:rsid w:val="00814C7A"/>
    <w:rsid w:val="00820EC8"/>
    <w:rsid w:val="008228CE"/>
    <w:rsid w:val="0083739C"/>
    <w:rsid w:val="0085149F"/>
    <w:rsid w:val="00853C25"/>
    <w:rsid w:val="008578E6"/>
    <w:rsid w:val="00860178"/>
    <w:rsid w:val="008D3C47"/>
    <w:rsid w:val="008F1E2D"/>
    <w:rsid w:val="008F4A32"/>
    <w:rsid w:val="0092279C"/>
    <w:rsid w:val="00924264"/>
    <w:rsid w:val="009278CA"/>
    <w:rsid w:val="00935540"/>
    <w:rsid w:val="00967850"/>
    <w:rsid w:val="00980F22"/>
    <w:rsid w:val="0099358F"/>
    <w:rsid w:val="009C64C1"/>
    <w:rsid w:val="009D3856"/>
    <w:rsid w:val="009E5446"/>
    <w:rsid w:val="00A01C31"/>
    <w:rsid w:val="00A04277"/>
    <w:rsid w:val="00A06B35"/>
    <w:rsid w:val="00A31A25"/>
    <w:rsid w:val="00A33DCF"/>
    <w:rsid w:val="00A343A6"/>
    <w:rsid w:val="00A36E46"/>
    <w:rsid w:val="00A5338A"/>
    <w:rsid w:val="00A63AE6"/>
    <w:rsid w:val="00A779F9"/>
    <w:rsid w:val="00AA2BD5"/>
    <w:rsid w:val="00AA4727"/>
    <w:rsid w:val="00AB1A09"/>
    <w:rsid w:val="00AC7126"/>
    <w:rsid w:val="00AD3800"/>
    <w:rsid w:val="00AE2AA8"/>
    <w:rsid w:val="00B23BB3"/>
    <w:rsid w:val="00B578A7"/>
    <w:rsid w:val="00B8614B"/>
    <w:rsid w:val="00B95D43"/>
    <w:rsid w:val="00BA6043"/>
    <w:rsid w:val="00BA75F7"/>
    <w:rsid w:val="00BC1DBE"/>
    <w:rsid w:val="00BC3727"/>
    <w:rsid w:val="00BC5B53"/>
    <w:rsid w:val="00BE18DA"/>
    <w:rsid w:val="00C05B55"/>
    <w:rsid w:val="00C37E26"/>
    <w:rsid w:val="00C55FCB"/>
    <w:rsid w:val="00C702C1"/>
    <w:rsid w:val="00C83850"/>
    <w:rsid w:val="00C93037"/>
    <w:rsid w:val="00C93A25"/>
    <w:rsid w:val="00CD444F"/>
    <w:rsid w:val="00CE7012"/>
    <w:rsid w:val="00D039CB"/>
    <w:rsid w:val="00D0546B"/>
    <w:rsid w:val="00D13F1C"/>
    <w:rsid w:val="00D234FE"/>
    <w:rsid w:val="00D2401B"/>
    <w:rsid w:val="00D329C6"/>
    <w:rsid w:val="00D70F0B"/>
    <w:rsid w:val="00D752D4"/>
    <w:rsid w:val="00D958DC"/>
    <w:rsid w:val="00E02A9D"/>
    <w:rsid w:val="00E072B7"/>
    <w:rsid w:val="00E15DC7"/>
    <w:rsid w:val="00E423E2"/>
    <w:rsid w:val="00E45BE2"/>
    <w:rsid w:val="00E81D9E"/>
    <w:rsid w:val="00E842D2"/>
    <w:rsid w:val="00E93021"/>
    <w:rsid w:val="00EA3813"/>
    <w:rsid w:val="00EA6B89"/>
    <w:rsid w:val="00EB2727"/>
    <w:rsid w:val="00EC3025"/>
    <w:rsid w:val="00EC34D0"/>
    <w:rsid w:val="00F073A8"/>
    <w:rsid w:val="00F17F6A"/>
    <w:rsid w:val="00F55485"/>
    <w:rsid w:val="00F60E44"/>
    <w:rsid w:val="00F72345"/>
    <w:rsid w:val="00F92F78"/>
    <w:rsid w:val="00FB35E9"/>
    <w:rsid w:val="00FC2511"/>
    <w:rsid w:val="00FE30A5"/>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C78F90-45D3-4896-BFDB-A8136F16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character" w:styleId="Marquedecommentaire">
    <w:name w:val="annotation reference"/>
    <w:uiPriority w:val="99"/>
    <w:semiHidden/>
    <w:unhideWhenUsed/>
    <w:rsid w:val="008F4A32"/>
    <w:rPr>
      <w:sz w:val="16"/>
      <w:szCs w:val="16"/>
    </w:rPr>
  </w:style>
  <w:style w:type="paragraph" w:styleId="Commentaire">
    <w:name w:val="annotation text"/>
    <w:basedOn w:val="Normal"/>
    <w:link w:val="CommentaireCar"/>
    <w:uiPriority w:val="99"/>
    <w:semiHidden/>
    <w:unhideWhenUsed/>
    <w:rsid w:val="008F4A32"/>
    <w:rPr>
      <w:sz w:val="20"/>
      <w:szCs w:val="20"/>
    </w:rPr>
  </w:style>
  <w:style w:type="character" w:customStyle="1" w:styleId="CommentaireCar">
    <w:name w:val="Commentaire Car"/>
    <w:link w:val="Commentaire"/>
    <w:uiPriority w:val="99"/>
    <w:semiHidden/>
    <w:rsid w:val="008F4A32"/>
    <w:rPr>
      <w:lang w:val="fr-LU"/>
    </w:rPr>
  </w:style>
  <w:style w:type="paragraph" w:styleId="Objetducommentaire">
    <w:name w:val="annotation subject"/>
    <w:basedOn w:val="Commentaire"/>
    <w:next w:val="Commentaire"/>
    <w:link w:val="ObjetducommentaireCar"/>
    <w:uiPriority w:val="99"/>
    <w:semiHidden/>
    <w:unhideWhenUsed/>
    <w:rsid w:val="008F4A32"/>
    <w:rPr>
      <w:b/>
      <w:bCs/>
    </w:rPr>
  </w:style>
  <w:style w:type="character" w:customStyle="1" w:styleId="ObjetducommentaireCar">
    <w:name w:val="Objet du commentaire Car"/>
    <w:link w:val="Objetducommentaire"/>
    <w:uiPriority w:val="99"/>
    <w:semiHidden/>
    <w:rsid w:val="008F4A32"/>
    <w:rPr>
      <w:b/>
      <w:bCs/>
      <w:lang w:val="fr-LU"/>
    </w:rPr>
  </w:style>
  <w:style w:type="paragraph" w:styleId="Textedebulles">
    <w:name w:val="Balloon Text"/>
    <w:basedOn w:val="Normal"/>
    <w:link w:val="TextedebullesCar"/>
    <w:uiPriority w:val="99"/>
    <w:semiHidden/>
    <w:unhideWhenUsed/>
    <w:rsid w:val="008F4A3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A32"/>
    <w:rPr>
      <w:rFonts w:ascii="Segoe UI" w:hAnsi="Segoe UI" w:cs="Segoe UI"/>
      <w:sz w:val="18"/>
      <w:szCs w:val="18"/>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DP7527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7527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/sftpecos/Dossiers_parlementaires/7527/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41BA928-40D5-4ED1-9D03-45B618E633D6}"/>
</file>

<file path=customXml/itemProps2.xml><?xml version="1.0" encoding="utf-8"?>
<ds:datastoreItem xmlns:ds="http://schemas.openxmlformats.org/officeDocument/2006/customXml" ds:itemID="{1BF8C44A-A50A-4C45-9CAA-BF0231465898}"/>
</file>

<file path=customXml/itemProps3.xml><?xml version="1.0" encoding="utf-8"?>
<ds:datastoreItem xmlns:ds="http://schemas.openxmlformats.org/officeDocument/2006/customXml" ds:itemID="{EBC535C9-BB8D-44DC-871B-6703BA8C9CF8}"/>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1664</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2020-04-17T16:10:00Z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