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CAA" w:rsidRPr="00B54CAA" w:rsidRDefault="00B54CAA" w:rsidP="00B54CAA">
      <w:pPr>
        <w:spacing w:after="0" w:line="240" w:lineRule="auto"/>
        <w:ind w:left="1247"/>
        <w:jc w:val="center"/>
        <w:outlineLvl w:val="0"/>
        <w:rPr>
          <w:rFonts w:eastAsia="Times New Roman"/>
          <w:lang w:val="fr-FR" w:eastAsia="fr-FR"/>
        </w:rPr>
      </w:pPr>
      <w:bookmarkStart w:id="0" w:name="_GoBack"/>
      <w:bookmarkEnd w:id="0"/>
      <w:r w:rsidRPr="00B54CAA">
        <w:rPr>
          <w:rFonts w:ascii="Arial" w:eastAsia="Times New Roman" w:hAnsi="Arial" w:cs="Arial"/>
          <w:b/>
          <w:bCs/>
          <w:sz w:val="28"/>
          <w:szCs w:val="28"/>
          <w:lang w:val="fr-FR" w:eastAsia="fr-FR"/>
        </w:rPr>
        <w:t>N</w:t>
      </w:r>
      <w:r w:rsidRPr="00B54CAA">
        <w:rPr>
          <w:rFonts w:ascii="Arial" w:eastAsia="Times New Roman" w:hAnsi="Arial" w:cs="Arial"/>
          <w:b/>
          <w:bCs/>
          <w:sz w:val="28"/>
          <w:szCs w:val="28"/>
          <w:vertAlign w:val="superscript"/>
          <w:lang w:val="fr-FR" w:eastAsia="fr-FR"/>
        </w:rPr>
        <w:t>o</w:t>
      </w:r>
      <w:r w:rsidRPr="00B54CAA">
        <w:rPr>
          <w:rFonts w:ascii="Arial" w:eastAsia="Times New Roman" w:hAnsi="Arial" w:cs="Arial"/>
          <w:b/>
          <w:bCs/>
          <w:sz w:val="28"/>
          <w:szCs w:val="28"/>
          <w:lang w:val="fr-FR" w:eastAsia="fr-FR"/>
        </w:rPr>
        <w:t xml:space="preserve"> 7506</w:t>
      </w:r>
    </w:p>
    <w:p w:rsidR="00B54CAA" w:rsidRPr="00B54CAA" w:rsidRDefault="00B54CAA" w:rsidP="00B54CAA">
      <w:pPr>
        <w:spacing w:after="0" w:line="240" w:lineRule="auto"/>
        <w:ind w:left="1247"/>
        <w:jc w:val="center"/>
        <w:rPr>
          <w:rFonts w:ascii="Arial" w:eastAsia="Times New Roman" w:hAnsi="Arial" w:cs="Arial"/>
          <w:b/>
          <w:bCs/>
          <w:sz w:val="16"/>
          <w:szCs w:val="16"/>
          <w:lang w:val="fr-FR" w:eastAsia="fr-FR"/>
        </w:rPr>
      </w:pPr>
    </w:p>
    <w:p w:rsidR="00B54CAA" w:rsidRPr="00B54CAA" w:rsidRDefault="00B54CAA" w:rsidP="00B54CAA">
      <w:pPr>
        <w:spacing w:after="0" w:line="240" w:lineRule="auto"/>
        <w:ind w:left="1247"/>
        <w:jc w:val="center"/>
        <w:rPr>
          <w:rFonts w:ascii="Arial" w:eastAsia="Times New Roman" w:hAnsi="Arial" w:cs="Arial"/>
          <w:b/>
          <w:bCs/>
          <w:sz w:val="16"/>
          <w:szCs w:val="16"/>
          <w:lang w:val="fr-FR" w:eastAsia="fr-FR"/>
        </w:rPr>
      </w:pPr>
    </w:p>
    <w:p w:rsidR="00B54CAA" w:rsidRPr="00B54CAA" w:rsidRDefault="00B54CAA" w:rsidP="00B54CAA">
      <w:pPr>
        <w:spacing w:after="0" w:line="240" w:lineRule="auto"/>
        <w:ind w:left="1247"/>
        <w:jc w:val="center"/>
        <w:outlineLvl w:val="0"/>
        <w:rPr>
          <w:rFonts w:eastAsia="Times New Roman"/>
          <w:lang w:val="fr-FR" w:eastAsia="fr-FR"/>
        </w:rPr>
      </w:pPr>
      <w:r w:rsidRPr="00B54CAA">
        <w:rPr>
          <w:rFonts w:ascii="Arial" w:eastAsia="Times New Roman" w:hAnsi="Arial" w:cs="Arial"/>
          <w:bCs/>
          <w:sz w:val="28"/>
          <w:szCs w:val="28"/>
          <w:lang w:val="fr-FR" w:eastAsia="fr-FR"/>
        </w:rPr>
        <w:t>CHAMBRE DES DEPUTES</w:t>
      </w:r>
    </w:p>
    <w:p w:rsidR="00B54CAA" w:rsidRPr="00B54CAA" w:rsidRDefault="00B54CAA" w:rsidP="00B54CAA">
      <w:pPr>
        <w:spacing w:after="0" w:line="240" w:lineRule="auto"/>
        <w:ind w:left="1247"/>
        <w:jc w:val="center"/>
        <w:rPr>
          <w:rFonts w:ascii="Arial" w:eastAsia="Times New Roman" w:hAnsi="Arial" w:cs="Arial"/>
          <w:bCs/>
          <w:sz w:val="16"/>
          <w:szCs w:val="16"/>
          <w:lang w:val="fr-FR" w:eastAsia="fr-FR"/>
        </w:rPr>
      </w:pPr>
    </w:p>
    <w:p w:rsidR="00B54CAA" w:rsidRPr="00B54CAA" w:rsidRDefault="00B54CAA" w:rsidP="00B54CAA">
      <w:pPr>
        <w:spacing w:after="0" w:line="240" w:lineRule="auto"/>
        <w:ind w:left="1247"/>
        <w:jc w:val="center"/>
        <w:outlineLvl w:val="0"/>
        <w:rPr>
          <w:rFonts w:eastAsia="Times New Roman"/>
          <w:lang w:val="fr-FR" w:eastAsia="fr-FR"/>
        </w:rPr>
      </w:pPr>
      <w:r w:rsidRPr="00B54CAA">
        <w:rPr>
          <w:rFonts w:ascii="Arial" w:eastAsia="Times New Roman" w:hAnsi="Arial" w:cs="Arial"/>
          <w:bCs/>
          <w:sz w:val="20"/>
          <w:szCs w:val="20"/>
          <w:lang w:val="fr-FR" w:eastAsia="fr-FR"/>
        </w:rPr>
        <w:t>Session ordinaire 2020-2021</w:t>
      </w:r>
    </w:p>
    <w:p w:rsidR="00B54CAA" w:rsidRPr="00B54CAA" w:rsidRDefault="00B54CAA" w:rsidP="00B54CAA">
      <w:pPr>
        <w:spacing w:after="0" w:line="240" w:lineRule="auto"/>
        <w:ind w:left="1247"/>
        <w:jc w:val="center"/>
        <w:rPr>
          <w:rFonts w:ascii="Arial" w:eastAsia="Times New Roman" w:hAnsi="Arial" w:cs="Arial"/>
          <w:b/>
          <w:bCs/>
          <w:sz w:val="20"/>
          <w:szCs w:val="20"/>
          <w:lang w:val="fr-FR" w:eastAsia="fr-FR"/>
        </w:rPr>
      </w:pPr>
    </w:p>
    <w:p w:rsidR="00B54CAA" w:rsidRPr="00B54CAA" w:rsidRDefault="00B54CAA" w:rsidP="00B54CAA">
      <w:pPr>
        <w:pBdr>
          <w:bottom w:val="thinThickLargeGap" w:sz="24" w:space="1" w:color="000000"/>
        </w:pBdr>
        <w:spacing w:after="0" w:line="240" w:lineRule="auto"/>
        <w:ind w:left="1247"/>
        <w:jc w:val="center"/>
        <w:rPr>
          <w:rFonts w:ascii="Arial" w:eastAsia="Times New Roman" w:hAnsi="Arial" w:cs="Arial"/>
          <w:b/>
          <w:bCs/>
          <w:sz w:val="20"/>
          <w:szCs w:val="20"/>
          <w:lang w:val="fr-FR" w:eastAsia="fr-FR"/>
        </w:rPr>
      </w:pPr>
    </w:p>
    <w:p w:rsidR="00B54CAA" w:rsidRPr="00B54CAA" w:rsidRDefault="00B54CAA" w:rsidP="00B54CAA">
      <w:pPr>
        <w:spacing w:after="0" w:line="240" w:lineRule="auto"/>
        <w:ind w:left="1247"/>
        <w:jc w:val="both"/>
        <w:rPr>
          <w:rFonts w:ascii="Arial" w:eastAsia="Times New Roman" w:hAnsi="Arial" w:cs="Arial"/>
          <w:b/>
          <w:bCs/>
          <w:lang w:val="fr-FR" w:eastAsia="fr-FR"/>
        </w:rPr>
      </w:pPr>
    </w:p>
    <w:p w:rsidR="00B54CAA" w:rsidRPr="00B54CAA" w:rsidRDefault="00B54CAA" w:rsidP="00B54CAA">
      <w:pPr>
        <w:spacing w:after="0" w:line="240" w:lineRule="auto"/>
        <w:ind w:left="1247"/>
        <w:jc w:val="center"/>
        <w:rPr>
          <w:rFonts w:ascii="Courier New" w:eastAsia="Times New Roman" w:hAnsi="Courier New"/>
          <w:sz w:val="20"/>
          <w:szCs w:val="20"/>
          <w:lang w:val="fr-FR" w:eastAsia="fr-FR"/>
        </w:rPr>
      </w:pPr>
      <w:r w:rsidRPr="00B54CAA">
        <w:rPr>
          <w:rFonts w:ascii="Arial" w:eastAsia="Times New Roman" w:hAnsi="Arial" w:cs="Arial"/>
          <w:b/>
          <w:bCs/>
          <w:sz w:val="28"/>
          <w:szCs w:val="28"/>
          <w:lang w:val="fr-FR" w:eastAsia="fr-FR"/>
        </w:rPr>
        <w:t>Projet de loi</w:t>
      </w:r>
    </w:p>
    <w:p w:rsidR="00B54CAA" w:rsidRPr="00B54CAA" w:rsidRDefault="00B54CAA" w:rsidP="00B54CAA">
      <w:pPr>
        <w:spacing w:after="0" w:line="240" w:lineRule="auto"/>
        <w:ind w:left="1247"/>
        <w:jc w:val="center"/>
        <w:rPr>
          <w:rFonts w:ascii="Arial" w:eastAsia="Times New Roman" w:hAnsi="Arial" w:cs="Arial"/>
          <w:b/>
          <w:bCs/>
          <w:sz w:val="28"/>
          <w:szCs w:val="28"/>
          <w:lang w:val="fr-FR" w:eastAsia="fr-FR"/>
        </w:rPr>
      </w:pPr>
    </w:p>
    <w:p w:rsidR="00B54CAA" w:rsidRPr="00B54CAA" w:rsidRDefault="00B54CAA" w:rsidP="00B54CAA">
      <w:pPr>
        <w:spacing w:after="140" w:line="240" w:lineRule="auto"/>
        <w:ind w:left="1247"/>
        <w:jc w:val="center"/>
        <w:rPr>
          <w:rFonts w:ascii="Arial" w:eastAsia="Times New Roman" w:hAnsi="Arial" w:cs="Arial"/>
          <w:b/>
          <w:bCs/>
          <w:sz w:val="28"/>
          <w:szCs w:val="28"/>
          <w:lang w:val="fr-FR" w:eastAsia="fr-FR"/>
        </w:rPr>
      </w:pPr>
      <w:r w:rsidRPr="00B54CAA">
        <w:rPr>
          <w:rFonts w:ascii="Arial" w:eastAsia="Times New Roman" w:hAnsi="Arial" w:cs="Arial"/>
          <w:b/>
          <w:bCs/>
          <w:sz w:val="28"/>
          <w:szCs w:val="28"/>
          <w:lang w:val="fr-FR" w:eastAsia="fr-FR"/>
        </w:rPr>
        <w:t xml:space="preserve">modifiant la loi </w:t>
      </w:r>
      <w:proofErr w:type="spellStart"/>
      <w:r w:rsidRPr="00B54CAA">
        <w:rPr>
          <w:rFonts w:ascii="Arial" w:eastAsia="Times New Roman" w:hAnsi="Arial" w:cs="Arial"/>
          <w:b/>
          <w:bCs/>
          <w:sz w:val="28"/>
          <w:szCs w:val="28"/>
          <w:lang w:val="fr-FR" w:eastAsia="fr-FR"/>
        </w:rPr>
        <w:t>modifiée</w:t>
      </w:r>
      <w:proofErr w:type="spellEnd"/>
      <w:r w:rsidRPr="00B54CAA">
        <w:rPr>
          <w:rFonts w:ascii="Arial" w:eastAsia="Times New Roman" w:hAnsi="Arial" w:cs="Arial"/>
          <w:b/>
          <w:bCs/>
          <w:sz w:val="28"/>
          <w:szCs w:val="28"/>
          <w:lang w:val="fr-FR" w:eastAsia="fr-FR"/>
        </w:rPr>
        <w:t xml:space="preserve"> du 22 </w:t>
      </w:r>
      <w:proofErr w:type="spellStart"/>
      <w:r w:rsidRPr="00B54CAA">
        <w:rPr>
          <w:rFonts w:ascii="Arial" w:eastAsia="Times New Roman" w:hAnsi="Arial" w:cs="Arial"/>
          <w:b/>
          <w:bCs/>
          <w:sz w:val="28"/>
          <w:szCs w:val="28"/>
          <w:lang w:val="fr-FR" w:eastAsia="fr-FR"/>
        </w:rPr>
        <w:t>décembre</w:t>
      </w:r>
      <w:proofErr w:type="spellEnd"/>
      <w:r w:rsidRPr="00B54CAA">
        <w:rPr>
          <w:rFonts w:ascii="Arial" w:eastAsia="Times New Roman" w:hAnsi="Arial" w:cs="Arial"/>
          <w:b/>
          <w:bCs/>
          <w:sz w:val="28"/>
          <w:szCs w:val="28"/>
          <w:lang w:val="fr-FR" w:eastAsia="fr-FR"/>
        </w:rPr>
        <w:t xml:space="preserve"> 2006 promouvant le maintien dans l’emploi et </w:t>
      </w:r>
      <w:proofErr w:type="spellStart"/>
      <w:r w:rsidRPr="00B54CAA">
        <w:rPr>
          <w:rFonts w:ascii="Arial" w:eastAsia="Times New Roman" w:hAnsi="Arial" w:cs="Arial"/>
          <w:b/>
          <w:bCs/>
          <w:sz w:val="28"/>
          <w:szCs w:val="28"/>
          <w:lang w:val="fr-FR" w:eastAsia="fr-FR"/>
        </w:rPr>
        <w:t>définissant</w:t>
      </w:r>
      <w:proofErr w:type="spellEnd"/>
      <w:r w:rsidRPr="00B54CAA">
        <w:rPr>
          <w:rFonts w:ascii="Arial" w:eastAsia="Times New Roman" w:hAnsi="Arial" w:cs="Arial"/>
          <w:b/>
          <w:bCs/>
          <w:sz w:val="28"/>
          <w:szCs w:val="28"/>
          <w:lang w:val="fr-FR" w:eastAsia="fr-FR"/>
        </w:rPr>
        <w:t xml:space="preserve"> des mesures </w:t>
      </w:r>
      <w:proofErr w:type="spellStart"/>
      <w:r w:rsidRPr="00B54CAA">
        <w:rPr>
          <w:rFonts w:ascii="Arial" w:eastAsia="Times New Roman" w:hAnsi="Arial" w:cs="Arial"/>
          <w:b/>
          <w:bCs/>
          <w:sz w:val="28"/>
          <w:szCs w:val="28"/>
          <w:lang w:val="fr-FR" w:eastAsia="fr-FR"/>
        </w:rPr>
        <w:t>spéciales</w:t>
      </w:r>
      <w:proofErr w:type="spellEnd"/>
      <w:r w:rsidRPr="00B54CAA">
        <w:rPr>
          <w:rFonts w:ascii="Arial" w:eastAsia="Times New Roman" w:hAnsi="Arial" w:cs="Arial"/>
          <w:b/>
          <w:bCs/>
          <w:sz w:val="28"/>
          <w:szCs w:val="28"/>
          <w:lang w:val="fr-FR" w:eastAsia="fr-FR"/>
        </w:rPr>
        <w:t xml:space="preserve"> en </w:t>
      </w:r>
      <w:proofErr w:type="spellStart"/>
      <w:r w:rsidRPr="00B54CAA">
        <w:rPr>
          <w:rFonts w:ascii="Arial" w:eastAsia="Times New Roman" w:hAnsi="Arial" w:cs="Arial"/>
          <w:b/>
          <w:bCs/>
          <w:sz w:val="28"/>
          <w:szCs w:val="28"/>
          <w:lang w:val="fr-FR" w:eastAsia="fr-FR"/>
        </w:rPr>
        <w:t>matière</w:t>
      </w:r>
      <w:proofErr w:type="spellEnd"/>
      <w:r w:rsidRPr="00B54CAA">
        <w:rPr>
          <w:rFonts w:ascii="Arial" w:eastAsia="Times New Roman" w:hAnsi="Arial" w:cs="Arial"/>
          <w:b/>
          <w:bCs/>
          <w:sz w:val="28"/>
          <w:szCs w:val="28"/>
          <w:lang w:val="fr-FR" w:eastAsia="fr-FR"/>
        </w:rPr>
        <w:t xml:space="preserve"> de </w:t>
      </w:r>
      <w:proofErr w:type="spellStart"/>
      <w:r w:rsidRPr="00B54CAA">
        <w:rPr>
          <w:rFonts w:ascii="Arial" w:eastAsia="Times New Roman" w:hAnsi="Arial" w:cs="Arial"/>
          <w:b/>
          <w:bCs/>
          <w:sz w:val="28"/>
          <w:szCs w:val="28"/>
          <w:lang w:val="fr-FR" w:eastAsia="fr-FR"/>
        </w:rPr>
        <w:t>sécurite</w:t>
      </w:r>
      <w:proofErr w:type="spellEnd"/>
      <w:r w:rsidRPr="00B54CAA">
        <w:rPr>
          <w:rFonts w:ascii="Arial" w:eastAsia="Times New Roman" w:hAnsi="Arial" w:cs="Arial"/>
          <w:b/>
          <w:bCs/>
          <w:sz w:val="28"/>
          <w:szCs w:val="28"/>
          <w:lang w:val="fr-FR" w:eastAsia="fr-FR"/>
        </w:rPr>
        <w:t xml:space="preserve">́ sociale et de politique de l’environnement </w:t>
      </w:r>
    </w:p>
    <w:p w:rsidR="00B54CAA" w:rsidRPr="00B54CAA" w:rsidRDefault="00B54CAA" w:rsidP="00B54CAA">
      <w:pPr>
        <w:spacing w:after="0" w:line="240" w:lineRule="auto"/>
        <w:ind w:left="1247"/>
        <w:jc w:val="center"/>
        <w:rPr>
          <w:rFonts w:ascii="Arial" w:eastAsia="Times New Roman" w:hAnsi="Arial" w:cs="Arial"/>
          <w:b/>
          <w:bCs/>
          <w:sz w:val="28"/>
          <w:szCs w:val="28"/>
          <w:lang w:val="fr-FR" w:eastAsia="fr-FR"/>
        </w:rPr>
      </w:pPr>
    </w:p>
    <w:p w:rsidR="00B54CAA" w:rsidRPr="00B54CAA" w:rsidRDefault="00B54CAA" w:rsidP="00B54CAA">
      <w:pPr>
        <w:spacing w:after="0" w:line="240" w:lineRule="auto"/>
        <w:ind w:left="1247"/>
        <w:jc w:val="center"/>
        <w:rPr>
          <w:rFonts w:ascii="Courier New" w:eastAsia="Times New Roman" w:hAnsi="Courier New"/>
          <w:sz w:val="20"/>
          <w:szCs w:val="20"/>
          <w:lang w:val="fr-FR" w:eastAsia="fr-FR"/>
        </w:rPr>
      </w:pPr>
      <w:r w:rsidRPr="00B54CAA">
        <w:rPr>
          <w:rFonts w:ascii="Arial" w:eastAsia="Times New Roman" w:hAnsi="Arial" w:cs="Arial"/>
          <w:b/>
          <w:sz w:val="28"/>
          <w:szCs w:val="28"/>
          <w:lang w:val="fr-FR" w:eastAsia="fr-FR"/>
        </w:rPr>
        <w:t>***</w:t>
      </w:r>
    </w:p>
    <w:p w:rsidR="00B54CAA" w:rsidRPr="00B54CAA" w:rsidRDefault="00B54CAA" w:rsidP="00B54CAA">
      <w:pPr>
        <w:spacing w:after="0" w:line="240" w:lineRule="auto"/>
        <w:ind w:left="1247"/>
        <w:jc w:val="center"/>
        <w:rPr>
          <w:rFonts w:ascii="Arial" w:eastAsia="Times New Roman" w:hAnsi="Arial" w:cs="Arial"/>
          <w:bCs/>
          <w:sz w:val="28"/>
          <w:szCs w:val="28"/>
          <w:lang w:val="fr-FR" w:eastAsia="fr-FR"/>
        </w:rPr>
      </w:pPr>
    </w:p>
    <w:p w:rsidR="00B54CAA" w:rsidRPr="00B54CAA" w:rsidRDefault="00B54CAA" w:rsidP="00B54CAA">
      <w:pPr>
        <w:spacing w:after="0" w:line="240" w:lineRule="auto"/>
        <w:ind w:left="1247"/>
        <w:jc w:val="center"/>
        <w:rPr>
          <w:rFonts w:eastAsia="Times New Roman"/>
          <w:lang w:val="fr-FR" w:eastAsia="fr-FR"/>
        </w:rPr>
      </w:pPr>
      <w:r w:rsidRPr="00B54CAA">
        <w:rPr>
          <w:rFonts w:ascii="Arial" w:eastAsia="Times New Roman" w:hAnsi="Arial" w:cs="Arial"/>
          <w:b/>
          <w:sz w:val="28"/>
          <w:szCs w:val="28"/>
          <w:lang w:val="fr-FR" w:eastAsia="fr-FR"/>
        </w:rPr>
        <w:t>Rapport de la Commission de la Mobilité et des Travaux publics</w:t>
      </w:r>
    </w:p>
    <w:p w:rsidR="00B54CAA" w:rsidRPr="00B54CAA" w:rsidRDefault="00B54CAA" w:rsidP="00B54CAA">
      <w:pPr>
        <w:spacing w:after="0" w:line="240" w:lineRule="auto"/>
        <w:ind w:left="1247"/>
        <w:jc w:val="center"/>
        <w:rPr>
          <w:rFonts w:ascii="Arial" w:eastAsia="Times New Roman" w:hAnsi="Arial" w:cs="Arial"/>
          <w:bCs/>
          <w:lang w:val="fr-FR" w:eastAsia="fr-FR"/>
        </w:rPr>
      </w:pPr>
    </w:p>
    <w:p w:rsidR="00B54CAA" w:rsidRPr="00B54CAA" w:rsidRDefault="00B54CAA" w:rsidP="00B54CAA">
      <w:pPr>
        <w:spacing w:after="0" w:line="240" w:lineRule="auto"/>
        <w:ind w:left="1247"/>
        <w:jc w:val="center"/>
        <w:rPr>
          <w:rFonts w:ascii="Arial" w:eastAsia="Times New Roman" w:hAnsi="Arial" w:cs="Arial"/>
          <w:bCs/>
          <w:lang w:val="fr-FR" w:eastAsia="fr-FR"/>
        </w:rPr>
      </w:pPr>
    </w:p>
    <w:p w:rsidR="00B54CAA" w:rsidRPr="00B54CAA" w:rsidRDefault="00B54CAA" w:rsidP="00B54CAA">
      <w:pPr>
        <w:spacing w:after="0" w:line="240" w:lineRule="auto"/>
        <w:ind w:left="1247"/>
        <w:rPr>
          <w:rFonts w:ascii="Arial" w:eastAsia="Times New Roman" w:hAnsi="Arial" w:cs="Arial"/>
          <w:lang w:val="fr-FR" w:eastAsia="fr-FR"/>
        </w:rPr>
      </w:pPr>
    </w:p>
    <w:p w:rsidR="00B54CAA" w:rsidRPr="00B54CAA" w:rsidRDefault="00B54CAA" w:rsidP="00B54CAA">
      <w:pPr>
        <w:spacing w:after="0" w:line="240" w:lineRule="auto"/>
        <w:ind w:left="1247"/>
        <w:jc w:val="center"/>
        <w:rPr>
          <w:rFonts w:ascii="Arial" w:eastAsia="Times New Roman" w:hAnsi="Arial" w:cs="Arial"/>
          <w:b/>
          <w:bCs/>
          <w:sz w:val="28"/>
          <w:szCs w:val="28"/>
          <w:lang w:val="fr-FR" w:eastAsia="fr-FR"/>
        </w:rPr>
      </w:pPr>
      <w:r>
        <w:rPr>
          <w:rFonts w:ascii="Arial" w:eastAsia="Times New Roman" w:hAnsi="Arial" w:cs="Arial"/>
          <w:b/>
          <w:bCs/>
          <w:sz w:val="28"/>
          <w:szCs w:val="28"/>
          <w:lang w:val="fr-FR" w:eastAsia="fr-FR"/>
        </w:rPr>
        <w:t>Résumé</w:t>
      </w:r>
    </w:p>
    <w:p w:rsidR="00B54CAA" w:rsidRDefault="00B54CAA" w:rsidP="00B54CAA">
      <w:pPr>
        <w:spacing w:after="0" w:line="240" w:lineRule="auto"/>
        <w:ind w:left="1247"/>
        <w:jc w:val="both"/>
        <w:rPr>
          <w:rFonts w:ascii="Arial" w:eastAsia="Times New Roman" w:hAnsi="Arial" w:cs="Arial"/>
          <w:bCs/>
          <w:lang w:val="fr-FR" w:eastAsia="fr-FR"/>
        </w:rPr>
      </w:pPr>
    </w:p>
    <w:p w:rsidR="00B54CAA" w:rsidRPr="00B54CAA" w:rsidRDefault="00B54CAA" w:rsidP="00B54CAA">
      <w:pPr>
        <w:spacing w:after="0" w:line="240" w:lineRule="auto"/>
        <w:ind w:left="1247"/>
        <w:jc w:val="both"/>
        <w:rPr>
          <w:rFonts w:ascii="Arial" w:eastAsia="Times New Roman" w:hAnsi="Arial" w:cs="Arial"/>
          <w:lang w:val="fr-FR" w:eastAsia="fr-FR"/>
        </w:rPr>
      </w:pPr>
      <w:r w:rsidRPr="00B54CAA">
        <w:rPr>
          <w:rFonts w:ascii="Arial" w:eastAsia="Times New Roman" w:hAnsi="Arial" w:cs="Arial"/>
          <w:color w:val="000000"/>
          <w:lang w:val="fr-FR" w:eastAsia="fr-FR"/>
        </w:rPr>
        <w:t xml:space="preserve">Le présent projet de loi a pour objet une adaptation de la législation nationale suite à des changements dans la </w:t>
      </w:r>
      <w:proofErr w:type="spellStart"/>
      <w:r w:rsidRPr="00B54CAA">
        <w:rPr>
          <w:rFonts w:ascii="Arial" w:eastAsia="Times New Roman" w:hAnsi="Arial" w:cs="Arial"/>
          <w:color w:val="000000"/>
          <w:lang w:val="fr-FR" w:eastAsia="fr-FR"/>
        </w:rPr>
        <w:t>législation</w:t>
      </w:r>
      <w:proofErr w:type="spellEnd"/>
      <w:r w:rsidRPr="00B54CAA">
        <w:rPr>
          <w:rFonts w:ascii="Arial" w:eastAsia="Times New Roman" w:hAnsi="Arial" w:cs="Arial"/>
          <w:color w:val="000000"/>
          <w:lang w:val="fr-FR" w:eastAsia="fr-FR"/>
        </w:rPr>
        <w:t xml:space="preserve"> </w:t>
      </w:r>
      <w:proofErr w:type="spellStart"/>
      <w:r w:rsidRPr="00B54CAA">
        <w:rPr>
          <w:rFonts w:ascii="Arial" w:eastAsia="Times New Roman" w:hAnsi="Arial" w:cs="Arial"/>
          <w:color w:val="000000"/>
          <w:lang w:val="fr-FR" w:eastAsia="fr-FR"/>
        </w:rPr>
        <w:t>européenne</w:t>
      </w:r>
      <w:proofErr w:type="spellEnd"/>
      <w:r w:rsidRPr="00B54CAA">
        <w:rPr>
          <w:rFonts w:ascii="Arial" w:eastAsia="Times New Roman" w:hAnsi="Arial" w:cs="Arial"/>
          <w:color w:val="000000"/>
          <w:lang w:val="fr-FR" w:eastAsia="fr-FR"/>
        </w:rPr>
        <w:t xml:space="preserve">, à savoir les modifications de la directive 2007/46/CE du Parlement </w:t>
      </w:r>
      <w:proofErr w:type="spellStart"/>
      <w:r w:rsidRPr="00B54CAA">
        <w:rPr>
          <w:rFonts w:ascii="Arial" w:eastAsia="Times New Roman" w:hAnsi="Arial" w:cs="Arial"/>
          <w:color w:val="000000"/>
          <w:lang w:val="fr-FR" w:eastAsia="fr-FR"/>
        </w:rPr>
        <w:t>européen</w:t>
      </w:r>
      <w:proofErr w:type="spellEnd"/>
      <w:r w:rsidRPr="00B54CAA">
        <w:rPr>
          <w:rFonts w:ascii="Arial" w:eastAsia="Times New Roman" w:hAnsi="Arial" w:cs="Arial"/>
          <w:color w:val="000000"/>
          <w:lang w:val="fr-FR" w:eastAsia="fr-FR"/>
        </w:rPr>
        <w:t xml:space="preserve"> et du Conseil </w:t>
      </w:r>
      <w:proofErr w:type="spellStart"/>
      <w:r w:rsidRPr="00B54CAA">
        <w:rPr>
          <w:rFonts w:ascii="Arial" w:eastAsia="Times New Roman" w:hAnsi="Arial" w:cs="Arial"/>
          <w:color w:val="000000"/>
          <w:lang w:val="fr-FR" w:eastAsia="fr-FR"/>
        </w:rPr>
        <w:t>européen</w:t>
      </w:r>
      <w:proofErr w:type="spellEnd"/>
      <w:r w:rsidRPr="00B54CAA">
        <w:rPr>
          <w:rFonts w:ascii="Arial" w:eastAsia="Times New Roman" w:hAnsi="Arial" w:cs="Arial"/>
          <w:color w:val="000000"/>
          <w:lang w:val="fr-FR" w:eastAsia="fr-FR"/>
        </w:rPr>
        <w:t xml:space="preserve"> du 5 septembre 2007 </w:t>
      </w:r>
      <w:proofErr w:type="spellStart"/>
      <w:r w:rsidRPr="00B54CAA">
        <w:rPr>
          <w:rFonts w:ascii="Arial" w:eastAsia="Times New Roman" w:hAnsi="Arial" w:cs="Arial"/>
          <w:color w:val="000000"/>
          <w:lang w:val="fr-FR" w:eastAsia="fr-FR"/>
        </w:rPr>
        <w:t>établissant</w:t>
      </w:r>
      <w:proofErr w:type="spellEnd"/>
      <w:r w:rsidRPr="00B54CAA">
        <w:rPr>
          <w:rFonts w:ascii="Arial" w:eastAsia="Times New Roman" w:hAnsi="Arial" w:cs="Arial"/>
          <w:color w:val="000000"/>
          <w:lang w:val="fr-FR" w:eastAsia="fr-FR"/>
        </w:rPr>
        <w:t xml:space="preserve"> un cadre pour la </w:t>
      </w:r>
      <w:proofErr w:type="spellStart"/>
      <w:r w:rsidRPr="00B54CAA">
        <w:rPr>
          <w:rFonts w:ascii="Arial" w:eastAsia="Times New Roman" w:hAnsi="Arial" w:cs="Arial"/>
          <w:color w:val="000000"/>
          <w:lang w:val="fr-FR" w:eastAsia="fr-FR"/>
        </w:rPr>
        <w:t>réception</w:t>
      </w:r>
      <w:proofErr w:type="spellEnd"/>
      <w:r w:rsidRPr="00B54CAA">
        <w:rPr>
          <w:rFonts w:ascii="Arial" w:eastAsia="Times New Roman" w:hAnsi="Arial" w:cs="Arial"/>
          <w:color w:val="000000"/>
          <w:lang w:val="fr-FR" w:eastAsia="fr-FR"/>
        </w:rPr>
        <w:t xml:space="preserve"> des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à moteur, de leurs remorques et des </w:t>
      </w:r>
      <w:proofErr w:type="spellStart"/>
      <w:r w:rsidRPr="00B54CAA">
        <w:rPr>
          <w:rFonts w:ascii="Arial" w:eastAsia="Times New Roman" w:hAnsi="Arial" w:cs="Arial"/>
          <w:color w:val="000000"/>
          <w:lang w:val="fr-FR" w:eastAsia="fr-FR"/>
        </w:rPr>
        <w:t>systèmes</w:t>
      </w:r>
      <w:proofErr w:type="spellEnd"/>
      <w:r w:rsidRPr="00B54CAA">
        <w:rPr>
          <w:rFonts w:ascii="Arial" w:eastAsia="Times New Roman" w:hAnsi="Arial" w:cs="Arial"/>
          <w:color w:val="000000"/>
          <w:lang w:val="fr-FR" w:eastAsia="fr-FR"/>
        </w:rPr>
        <w:t xml:space="preserve">, composants et </w:t>
      </w:r>
      <w:proofErr w:type="spellStart"/>
      <w:r w:rsidRPr="00B54CAA">
        <w:rPr>
          <w:rFonts w:ascii="Arial" w:eastAsia="Times New Roman" w:hAnsi="Arial" w:cs="Arial"/>
          <w:color w:val="000000"/>
          <w:lang w:val="fr-FR" w:eastAsia="fr-FR"/>
        </w:rPr>
        <w:t>entités</w:t>
      </w:r>
      <w:proofErr w:type="spellEnd"/>
      <w:r w:rsidRPr="00B54CAA">
        <w:rPr>
          <w:rFonts w:ascii="Arial" w:eastAsia="Times New Roman" w:hAnsi="Arial" w:cs="Arial"/>
          <w:color w:val="000000"/>
          <w:lang w:val="fr-FR" w:eastAsia="fr-FR"/>
        </w:rPr>
        <w:t xml:space="preserve"> techniques </w:t>
      </w:r>
      <w:proofErr w:type="spellStart"/>
      <w:r w:rsidRPr="00B54CAA">
        <w:rPr>
          <w:rFonts w:ascii="Arial" w:eastAsia="Times New Roman" w:hAnsi="Arial" w:cs="Arial"/>
          <w:color w:val="000000"/>
          <w:lang w:val="fr-FR" w:eastAsia="fr-FR"/>
        </w:rPr>
        <w:t>destinés</w:t>
      </w:r>
      <w:proofErr w:type="spellEnd"/>
      <w:r w:rsidRPr="00B54CAA">
        <w:rPr>
          <w:rFonts w:ascii="Arial" w:eastAsia="Times New Roman" w:hAnsi="Arial" w:cs="Arial"/>
          <w:color w:val="000000"/>
          <w:lang w:val="fr-FR" w:eastAsia="fr-FR"/>
        </w:rPr>
        <w:t xml:space="preserve"> à ces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w:t>
      </w:r>
      <w:proofErr w:type="spellStart"/>
      <w:r w:rsidRPr="00B54CAA">
        <w:rPr>
          <w:rFonts w:ascii="Arial" w:eastAsia="Times New Roman" w:hAnsi="Arial" w:cs="Arial"/>
          <w:color w:val="000000"/>
          <w:lang w:val="fr-FR" w:eastAsia="fr-FR"/>
        </w:rPr>
        <w:t>apportées</w:t>
      </w:r>
      <w:proofErr w:type="spellEnd"/>
      <w:r w:rsidRPr="00B54CAA">
        <w:rPr>
          <w:rFonts w:ascii="Arial" w:eastAsia="Times New Roman" w:hAnsi="Arial" w:cs="Arial"/>
          <w:color w:val="000000"/>
          <w:lang w:val="fr-FR" w:eastAsia="fr-FR"/>
        </w:rPr>
        <w:t xml:space="preserve"> par le </w:t>
      </w:r>
      <w:proofErr w:type="spellStart"/>
      <w:r w:rsidRPr="00B54CAA">
        <w:rPr>
          <w:rFonts w:ascii="Arial" w:eastAsia="Times New Roman" w:hAnsi="Arial" w:cs="Arial"/>
          <w:color w:val="000000"/>
          <w:lang w:val="fr-FR" w:eastAsia="fr-FR"/>
        </w:rPr>
        <w:t>Règlement</w:t>
      </w:r>
      <w:proofErr w:type="spellEnd"/>
      <w:r w:rsidRPr="00B54CAA">
        <w:rPr>
          <w:rFonts w:ascii="Arial" w:eastAsia="Times New Roman" w:hAnsi="Arial" w:cs="Arial"/>
          <w:color w:val="000000"/>
          <w:lang w:val="fr-FR" w:eastAsia="fr-FR"/>
        </w:rPr>
        <w:t xml:space="preserve"> (UE) 2017/1151 de la Commission du 1</w:t>
      </w:r>
      <w:r w:rsidRPr="00B54CAA">
        <w:rPr>
          <w:rFonts w:ascii="Arial" w:eastAsia="Times New Roman" w:hAnsi="Arial" w:cs="Arial"/>
          <w:color w:val="000000"/>
          <w:vertAlign w:val="superscript"/>
          <w:lang w:val="fr-FR" w:eastAsia="fr-FR"/>
        </w:rPr>
        <w:t>er</w:t>
      </w:r>
      <w:r w:rsidRPr="00B54CAA">
        <w:rPr>
          <w:rFonts w:ascii="Arial" w:eastAsia="Times New Roman" w:hAnsi="Arial" w:cs="Arial"/>
          <w:color w:val="000000"/>
          <w:lang w:val="fr-FR" w:eastAsia="fr-FR"/>
        </w:rPr>
        <w:t xml:space="preserve"> juin 2017. Il s’agit de mettre en œuvre la transition du cycle d’essai « </w:t>
      </w:r>
      <w:r w:rsidRPr="00B54CAA">
        <w:rPr>
          <w:rFonts w:ascii="Arial" w:eastAsia="Times New Roman" w:hAnsi="Arial" w:cs="Arial"/>
          <w:i/>
          <w:iCs/>
          <w:color w:val="000000"/>
          <w:lang w:val="fr-FR" w:eastAsia="fr-FR"/>
        </w:rPr>
        <w:t xml:space="preserve">New </w:t>
      </w:r>
      <w:proofErr w:type="spellStart"/>
      <w:r w:rsidRPr="00B54CAA">
        <w:rPr>
          <w:rFonts w:ascii="Arial" w:eastAsia="Times New Roman" w:hAnsi="Arial" w:cs="Arial"/>
          <w:i/>
          <w:iCs/>
          <w:color w:val="000000"/>
          <w:lang w:val="fr-FR" w:eastAsia="fr-FR"/>
        </w:rPr>
        <w:t>European</w:t>
      </w:r>
      <w:proofErr w:type="spellEnd"/>
      <w:r w:rsidRPr="00B54CAA">
        <w:rPr>
          <w:rFonts w:ascii="Arial" w:eastAsia="Times New Roman" w:hAnsi="Arial" w:cs="Arial"/>
          <w:i/>
          <w:iCs/>
          <w:color w:val="000000"/>
          <w:lang w:val="fr-FR" w:eastAsia="fr-FR"/>
        </w:rPr>
        <w:t xml:space="preserve"> </w:t>
      </w:r>
      <w:proofErr w:type="spellStart"/>
      <w:r w:rsidRPr="00B54CAA">
        <w:rPr>
          <w:rFonts w:ascii="Arial" w:eastAsia="Times New Roman" w:hAnsi="Arial" w:cs="Arial"/>
          <w:i/>
          <w:iCs/>
          <w:color w:val="000000"/>
          <w:lang w:val="fr-FR" w:eastAsia="fr-FR"/>
        </w:rPr>
        <w:t>Driving</w:t>
      </w:r>
      <w:proofErr w:type="spellEnd"/>
      <w:r w:rsidRPr="00B54CAA">
        <w:rPr>
          <w:rFonts w:ascii="Arial" w:eastAsia="Times New Roman" w:hAnsi="Arial" w:cs="Arial"/>
          <w:i/>
          <w:iCs/>
          <w:color w:val="000000"/>
          <w:lang w:val="fr-FR" w:eastAsia="fr-FR"/>
        </w:rPr>
        <w:t xml:space="preserve"> Cycle</w:t>
      </w:r>
      <w:r w:rsidRPr="00B54CAA">
        <w:rPr>
          <w:rFonts w:ascii="Arial" w:eastAsia="Times New Roman" w:hAnsi="Arial" w:cs="Arial"/>
          <w:color w:val="000000"/>
          <w:lang w:val="fr-FR" w:eastAsia="fr-FR"/>
        </w:rPr>
        <w:t> » (NEDC) vers le cycle d’essai « </w:t>
      </w:r>
      <w:r w:rsidRPr="00B54CAA">
        <w:rPr>
          <w:rFonts w:ascii="Arial" w:eastAsia="Times New Roman" w:hAnsi="Arial" w:cs="Arial"/>
          <w:i/>
          <w:iCs/>
          <w:color w:val="000000"/>
          <w:lang w:val="fr-FR" w:eastAsia="fr-FR"/>
        </w:rPr>
        <w:t xml:space="preserve">Worldwide </w:t>
      </w:r>
      <w:proofErr w:type="spellStart"/>
      <w:r w:rsidRPr="00B54CAA">
        <w:rPr>
          <w:rFonts w:ascii="Arial" w:eastAsia="Times New Roman" w:hAnsi="Arial" w:cs="Arial"/>
          <w:i/>
          <w:iCs/>
          <w:color w:val="000000"/>
          <w:lang w:val="fr-FR" w:eastAsia="fr-FR"/>
        </w:rPr>
        <w:t>Harmonised</w:t>
      </w:r>
      <w:proofErr w:type="spellEnd"/>
      <w:r w:rsidRPr="00B54CAA">
        <w:rPr>
          <w:rFonts w:ascii="Arial" w:eastAsia="Times New Roman" w:hAnsi="Arial" w:cs="Arial"/>
          <w:i/>
          <w:iCs/>
          <w:color w:val="000000"/>
          <w:lang w:val="fr-FR" w:eastAsia="fr-FR"/>
        </w:rPr>
        <w:t xml:space="preserve"> Light </w:t>
      </w:r>
      <w:proofErr w:type="spellStart"/>
      <w:r w:rsidRPr="00B54CAA">
        <w:rPr>
          <w:rFonts w:ascii="Arial" w:eastAsia="Times New Roman" w:hAnsi="Arial" w:cs="Arial"/>
          <w:i/>
          <w:iCs/>
          <w:color w:val="000000"/>
          <w:lang w:val="fr-FR" w:eastAsia="fr-FR"/>
        </w:rPr>
        <w:t>Vehicle</w:t>
      </w:r>
      <w:proofErr w:type="spellEnd"/>
      <w:r w:rsidRPr="00B54CAA">
        <w:rPr>
          <w:rFonts w:ascii="Arial" w:eastAsia="Times New Roman" w:hAnsi="Arial" w:cs="Arial"/>
          <w:i/>
          <w:iCs/>
          <w:color w:val="000000"/>
          <w:lang w:val="fr-FR" w:eastAsia="fr-FR"/>
        </w:rPr>
        <w:t xml:space="preserve"> Test </w:t>
      </w:r>
      <w:proofErr w:type="spellStart"/>
      <w:r w:rsidRPr="00B54CAA">
        <w:rPr>
          <w:rFonts w:ascii="Arial" w:eastAsia="Times New Roman" w:hAnsi="Arial" w:cs="Arial"/>
          <w:i/>
          <w:iCs/>
          <w:color w:val="000000"/>
          <w:lang w:val="fr-FR" w:eastAsia="fr-FR"/>
        </w:rPr>
        <w:t>Procedure</w:t>
      </w:r>
      <w:proofErr w:type="spellEnd"/>
      <w:r w:rsidRPr="00B54CAA">
        <w:rPr>
          <w:rFonts w:ascii="Arial" w:eastAsia="Times New Roman" w:hAnsi="Arial" w:cs="Arial"/>
          <w:color w:val="000000"/>
          <w:lang w:val="fr-FR" w:eastAsia="fr-FR"/>
        </w:rPr>
        <w:t xml:space="preserve"> » (WLTP) et d’adapter en conséquence les valeurs de base servant au calcul de la taxe sur les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routiers. </w:t>
      </w:r>
    </w:p>
    <w:p w:rsidR="00B54CAA" w:rsidRPr="00B54CAA" w:rsidRDefault="00B54CAA" w:rsidP="00B54CAA">
      <w:pPr>
        <w:spacing w:after="0" w:line="240" w:lineRule="auto"/>
        <w:ind w:left="1247"/>
        <w:jc w:val="both"/>
        <w:rPr>
          <w:rFonts w:ascii="Arial" w:eastAsia="Times New Roman" w:hAnsi="Arial" w:cs="Arial"/>
          <w:color w:val="000000"/>
          <w:lang w:val="fr-FR" w:eastAsia="fr-FR"/>
        </w:rPr>
      </w:pPr>
    </w:p>
    <w:p w:rsidR="00B54CAA" w:rsidRPr="00B54CAA" w:rsidRDefault="00B54CAA" w:rsidP="00B54CAA">
      <w:pPr>
        <w:spacing w:after="0" w:line="240" w:lineRule="auto"/>
        <w:ind w:left="1247"/>
        <w:jc w:val="both"/>
        <w:rPr>
          <w:rFonts w:ascii="Arial" w:eastAsia="Times New Roman" w:hAnsi="Arial" w:cs="Arial"/>
          <w:lang w:val="fr-FR" w:eastAsia="fr-FR"/>
        </w:rPr>
      </w:pPr>
      <w:r w:rsidRPr="00B54CAA">
        <w:rPr>
          <w:rFonts w:ascii="Arial" w:eastAsia="Times New Roman" w:hAnsi="Arial" w:cs="Arial"/>
          <w:color w:val="000000"/>
          <w:lang w:val="fr-FR" w:eastAsia="fr-FR"/>
        </w:rPr>
        <w:t xml:space="preserve">Au Luxembourg, la taxe sur les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routiers est </w:t>
      </w:r>
      <w:proofErr w:type="spellStart"/>
      <w:r w:rsidRPr="00B54CAA">
        <w:rPr>
          <w:rFonts w:ascii="Arial" w:eastAsia="Times New Roman" w:hAnsi="Arial" w:cs="Arial"/>
          <w:color w:val="000000"/>
          <w:lang w:val="fr-FR" w:eastAsia="fr-FR"/>
        </w:rPr>
        <w:t>calculée</w:t>
      </w:r>
      <w:proofErr w:type="spellEnd"/>
      <w:r w:rsidRPr="00B54CAA">
        <w:rPr>
          <w:rFonts w:ascii="Arial" w:eastAsia="Times New Roman" w:hAnsi="Arial" w:cs="Arial"/>
          <w:color w:val="000000"/>
          <w:lang w:val="fr-FR" w:eastAsia="fr-FR"/>
        </w:rPr>
        <w:t xml:space="preserve"> en fonction du type de motorisation et des </w:t>
      </w:r>
      <w:proofErr w:type="spellStart"/>
      <w:r w:rsidRPr="00B54CAA">
        <w:rPr>
          <w:rFonts w:ascii="Arial" w:eastAsia="Times New Roman" w:hAnsi="Arial" w:cs="Arial"/>
          <w:color w:val="000000"/>
          <w:lang w:val="fr-FR" w:eastAsia="fr-FR"/>
        </w:rPr>
        <w:t>émissions</w:t>
      </w:r>
      <w:proofErr w:type="spellEnd"/>
      <w:r w:rsidRPr="00B54CAA">
        <w:rPr>
          <w:rFonts w:ascii="Arial" w:eastAsia="Times New Roman" w:hAnsi="Arial" w:cs="Arial"/>
          <w:color w:val="000000"/>
          <w:lang w:val="fr-FR" w:eastAsia="fr-FR"/>
        </w:rPr>
        <w:t xml:space="preserve"> de CO</w:t>
      </w:r>
      <w:r w:rsidRPr="00B54CAA">
        <w:rPr>
          <w:rFonts w:ascii="Arial" w:eastAsia="Times New Roman" w:hAnsi="Arial" w:cs="Arial"/>
          <w:color w:val="000000"/>
          <w:vertAlign w:val="subscript"/>
          <w:lang w:val="fr-FR" w:eastAsia="fr-FR"/>
        </w:rPr>
        <w:t>2</w:t>
      </w:r>
      <w:r w:rsidRPr="00B54CAA">
        <w:rPr>
          <w:rFonts w:ascii="Arial" w:eastAsia="Times New Roman" w:hAnsi="Arial" w:cs="Arial"/>
          <w:color w:val="000000"/>
          <w:lang w:val="fr-FR" w:eastAsia="fr-FR"/>
        </w:rPr>
        <w:t xml:space="preserve">. Le </w:t>
      </w:r>
      <w:proofErr w:type="spellStart"/>
      <w:r w:rsidRPr="00B54CAA">
        <w:rPr>
          <w:rFonts w:ascii="Arial" w:eastAsia="Times New Roman" w:hAnsi="Arial" w:cs="Arial"/>
          <w:color w:val="000000"/>
          <w:lang w:val="fr-FR" w:eastAsia="fr-FR"/>
        </w:rPr>
        <w:t>présent</w:t>
      </w:r>
      <w:proofErr w:type="spellEnd"/>
      <w:r w:rsidRPr="00B54CAA">
        <w:rPr>
          <w:rFonts w:ascii="Arial" w:eastAsia="Times New Roman" w:hAnsi="Arial" w:cs="Arial"/>
          <w:color w:val="000000"/>
          <w:lang w:val="fr-FR" w:eastAsia="fr-FR"/>
        </w:rPr>
        <w:t xml:space="preserve"> projet de loi vise donc </w:t>
      </w:r>
      <w:proofErr w:type="spellStart"/>
      <w:r w:rsidRPr="00B54CAA">
        <w:rPr>
          <w:rFonts w:ascii="Arial" w:eastAsia="Times New Roman" w:hAnsi="Arial" w:cs="Arial"/>
          <w:color w:val="000000"/>
          <w:lang w:val="fr-FR" w:eastAsia="fr-FR"/>
        </w:rPr>
        <w:t>a</w:t>
      </w:r>
      <w:proofErr w:type="spellEnd"/>
      <w:r w:rsidRPr="00B54CAA">
        <w:rPr>
          <w:rFonts w:ascii="Arial" w:eastAsia="Times New Roman" w:hAnsi="Arial" w:cs="Arial"/>
          <w:color w:val="000000"/>
          <w:lang w:val="fr-FR" w:eastAsia="fr-FR"/>
        </w:rPr>
        <w:t xml:space="preserve">̀ remplacer l’ancienne </w:t>
      </w:r>
      <w:proofErr w:type="spellStart"/>
      <w:r w:rsidRPr="00B54CAA">
        <w:rPr>
          <w:rFonts w:ascii="Arial" w:eastAsia="Times New Roman" w:hAnsi="Arial" w:cs="Arial"/>
          <w:color w:val="000000"/>
          <w:lang w:val="fr-FR" w:eastAsia="fr-FR"/>
        </w:rPr>
        <w:t>référence</w:t>
      </w:r>
      <w:proofErr w:type="spellEnd"/>
      <w:r w:rsidRPr="00B54CAA">
        <w:rPr>
          <w:rFonts w:ascii="Arial" w:eastAsia="Times New Roman" w:hAnsi="Arial" w:cs="Arial"/>
          <w:color w:val="000000"/>
          <w:lang w:val="fr-FR" w:eastAsia="fr-FR"/>
        </w:rPr>
        <w:t xml:space="preserve"> à la valeur </w:t>
      </w:r>
      <w:proofErr w:type="spellStart"/>
      <w:r w:rsidRPr="00B54CAA">
        <w:rPr>
          <w:rFonts w:ascii="Arial" w:eastAsia="Times New Roman" w:hAnsi="Arial" w:cs="Arial"/>
          <w:color w:val="000000"/>
          <w:lang w:val="fr-FR" w:eastAsia="fr-FR"/>
        </w:rPr>
        <w:t>combinée</w:t>
      </w:r>
      <w:proofErr w:type="spellEnd"/>
      <w:r w:rsidRPr="00B54CAA">
        <w:rPr>
          <w:rFonts w:ascii="Arial" w:eastAsia="Times New Roman" w:hAnsi="Arial" w:cs="Arial"/>
          <w:color w:val="000000"/>
          <w:lang w:val="fr-FR" w:eastAsia="fr-FR"/>
        </w:rPr>
        <w:t xml:space="preserve"> de CO</w:t>
      </w:r>
      <w:r w:rsidRPr="00B54CAA">
        <w:rPr>
          <w:rFonts w:ascii="Arial" w:eastAsia="Times New Roman" w:hAnsi="Arial" w:cs="Arial"/>
          <w:color w:val="000000"/>
          <w:vertAlign w:val="subscript"/>
          <w:lang w:val="fr-FR" w:eastAsia="fr-FR"/>
        </w:rPr>
        <w:t>2</w:t>
      </w:r>
      <w:r w:rsidRPr="00B54CAA">
        <w:rPr>
          <w:rFonts w:ascii="Arial" w:eastAsia="Times New Roman" w:hAnsi="Arial" w:cs="Arial"/>
          <w:color w:val="000000"/>
          <w:lang w:val="fr-FR" w:eastAsia="fr-FR"/>
        </w:rPr>
        <w:t xml:space="preserve"> en g/km </w:t>
      </w:r>
      <w:proofErr w:type="spellStart"/>
      <w:r w:rsidRPr="00B54CAA">
        <w:rPr>
          <w:rFonts w:ascii="Arial" w:eastAsia="Times New Roman" w:hAnsi="Arial" w:cs="Arial"/>
          <w:color w:val="000000"/>
          <w:lang w:val="fr-FR" w:eastAsia="fr-FR"/>
        </w:rPr>
        <w:t>déterminée</w:t>
      </w:r>
      <w:proofErr w:type="spellEnd"/>
      <w:r w:rsidRPr="00B54CAA">
        <w:rPr>
          <w:rFonts w:ascii="Arial" w:eastAsia="Times New Roman" w:hAnsi="Arial" w:cs="Arial"/>
          <w:color w:val="000000"/>
          <w:lang w:val="fr-FR" w:eastAsia="fr-FR"/>
        </w:rPr>
        <w:t xml:space="preserve"> lors du cycle d’essai dit NEDC à la nouvelle référence WLTP telle que reprise au certificat de </w:t>
      </w:r>
      <w:proofErr w:type="spellStart"/>
      <w:r w:rsidRPr="00B54CAA">
        <w:rPr>
          <w:rFonts w:ascii="Arial" w:eastAsia="Times New Roman" w:hAnsi="Arial" w:cs="Arial"/>
          <w:color w:val="000000"/>
          <w:lang w:val="fr-FR" w:eastAsia="fr-FR"/>
        </w:rPr>
        <w:t>conformite</w:t>
      </w:r>
      <w:proofErr w:type="spellEnd"/>
      <w:r w:rsidRPr="00B54CAA">
        <w:rPr>
          <w:rFonts w:ascii="Arial" w:eastAsia="Times New Roman" w:hAnsi="Arial" w:cs="Arial"/>
          <w:color w:val="000000"/>
          <w:lang w:val="fr-FR" w:eastAsia="fr-FR"/>
        </w:rPr>
        <w:t xml:space="preserve">́ communautaire </w:t>
      </w:r>
      <w:proofErr w:type="spellStart"/>
      <w:r w:rsidRPr="00B54CAA">
        <w:rPr>
          <w:rFonts w:ascii="Arial" w:eastAsia="Times New Roman" w:hAnsi="Arial" w:cs="Arial"/>
          <w:color w:val="000000"/>
          <w:lang w:val="fr-FR" w:eastAsia="fr-FR"/>
        </w:rPr>
        <w:t>défini</w:t>
      </w:r>
      <w:proofErr w:type="spellEnd"/>
      <w:r w:rsidRPr="00B54CAA">
        <w:rPr>
          <w:rFonts w:ascii="Arial" w:eastAsia="Times New Roman" w:hAnsi="Arial" w:cs="Arial"/>
          <w:color w:val="000000"/>
          <w:lang w:val="fr-FR" w:eastAsia="fr-FR"/>
        </w:rPr>
        <w:t xml:space="preserve"> à l’annexe IX de la directive 2007/46/CEE. Actuellement, comme le cycle NEDC n’est plus applicable depuis le 1</w:t>
      </w:r>
      <w:r w:rsidRPr="00B54CAA">
        <w:rPr>
          <w:rFonts w:ascii="Arial" w:eastAsia="Times New Roman" w:hAnsi="Arial" w:cs="Arial"/>
          <w:color w:val="000000"/>
          <w:vertAlign w:val="superscript"/>
          <w:lang w:val="fr-FR" w:eastAsia="fr-FR"/>
        </w:rPr>
        <w:t>er</w:t>
      </w:r>
      <w:r w:rsidRPr="00B54CAA">
        <w:rPr>
          <w:rFonts w:ascii="Arial" w:eastAsia="Times New Roman" w:hAnsi="Arial" w:cs="Arial"/>
          <w:color w:val="000000"/>
          <w:lang w:val="fr-FR" w:eastAsia="fr-FR"/>
        </w:rPr>
        <w:t xml:space="preserve"> septembre 2017 pour la </w:t>
      </w:r>
      <w:proofErr w:type="spellStart"/>
      <w:r w:rsidRPr="00B54CAA">
        <w:rPr>
          <w:rFonts w:ascii="Arial" w:eastAsia="Times New Roman" w:hAnsi="Arial" w:cs="Arial"/>
          <w:color w:val="000000"/>
          <w:lang w:val="fr-FR" w:eastAsia="fr-FR"/>
        </w:rPr>
        <w:t>réception</w:t>
      </w:r>
      <w:proofErr w:type="spellEnd"/>
      <w:r w:rsidRPr="00B54CAA">
        <w:rPr>
          <w:rFonts w:ascii="Arial" w:eastAsia="Times New Roman" w:hAnsi="Arial" w:cs="Arial"/>
          <w:color w:val="000000"/>
          <w:lang w:val="fr-FR" w:eastAsia="fr-FR"/>
        </w:rPr>
        <w:t xml:space="preserve"> des nouveaux types de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les constructeurs doivent obligatoirement indiquer pendant une phase transitoire, allant jusqu’au 31 </w:t>
      </w:r>
      <w:proofErr w:type="spellStart"/>
      <w:r w:rsidRPr="00B54CAA">
        <w:rPr>
          <w:rFonts w:ascii="Arial" w:eastAsia="Times New Roman" w:hAnsi="Arial" w:cs="Arial"/>
          <w:color w:val="000000"/>
          <w:lang w:val="fr-FR" w:eastAsia="fr-FR"/>
        </w:rPr>
        <w:t>décembre</w:t>
      </w:r>
      <w:proofErr w:type="spellEnd"/>
      <w:r w:rsidRPr="00B54CAA">
        <w:rPr>
          <w:rFonts w:ascii="Arial" w:eastAsia="Times New Roman" w:hAnsi="Arial" w:cs="Arial"/>
          <w:color w:val="000000"/>
          <w:lang w:val="fr-FR" w:eastAsia="fr-FR"/>
        </w:rPr>
        <w:t xml:space="preserve"> 2020, à la fois les valeurs NEDC et les valeurs WLTP sur les certificats de </w:t>
      </w:r>
      <w:proofErr w:type="spellStart"/>
      <w:r w:rsidRPr="00B54CAA">
        <w:rPr>
          <w:rFonts w:ascii="Arial" w:eastAsia="Times New Roman" w:hAnsi="Arial" w:cs="Arial"/>
          <w:color w:val="000000"/>
          <w:lang w:val="fr-FR" w:eastAsia="fr-FR"/>
        </w:rPr>
        <w:t>conformite</w:t>
      </w:r>
      <w:proofErr w:type="spellEnd"/>
      <w:r w:rsidRPr="00B54CAA">
        <w:rPr>
          <w:rFonts w:ascii="Arial" w:eastAsia="Times New Roman" w:hAnsi="Arial" w:cs="Arial"/>
          <w:color w:val="000000"/>
          <w:lang w:val="fr-FR" w:eastAsia="fr-FR"/>
        </w:rPr>
        <w:t xml:space="preserve">́. </w:t>
      </w:r>
    </w:p>
    <w:p w:rsidR="00B54CAA" w:rsidRPr="00B54CAA" w:rsidRDefault="00B54CAA" w:rsidP="00B54CAA">
      <w:pPr>
        <w:spacing w:after="0" w:line="240" w:lineRule="auto"/>
        <w:ind w:left="1247"/>
        <w:jc w:val="both"/>
        <w:rPr>
          <w:rFonts w:ascii="Arial" w:eastAsia="Times New Roman" w:hAnsi="Arial" w:cs="Arial"/>
          <w:color w:val="000000"/>
          <w:lang w:val="fr-FR" w:eastAsia="fr-FR"/>
        </w:rPr>
      </w:pPr>
    </w:p>
    <w:p w:rsidR="00B54CAA" w:rsidRPr="00B54CAA" w:rsidRDefault="00B54CAA" w:rsidP="00B54CAA">
      <w:pPr>
        <w:spacing w:after="0" w:line="240" w:lineRule="auto"/>
        <w:ind w:left="1247"/>
        <w:jc w:val="both"/>
        <w:rPr>
          <w:rFonts w:ascii="Arial" w:eastAsia="Times New Roman" w:hAnsi="Arial" w:cs="Arial"/>
          <w:lang w:val="fr-FR" w:eastAsia="fr-FR"/>
        </w:rPr>
      </w:pPr>
      <w:r w:rsidRPr="00B54CAA">
        <w:rPr>
          <w:rFonts w:ascii="Arial" w:eastAsia="Times New Roman" w:hAnsi="Arial" w:cs="Arial"/>
          <w:color w:val="000000"/>
          <w:lang w:val="fr-FR" w:eastAsia="fr-FR"/>
        </w:rPr>
        <w:t xml:space="preserve">Sur base du présent projet de loi, les nouvelles valeurs WLTP serviront de base pour calculer la taxe pour les voitures à personnes de la </w:t>
      </w:r>
      <w:proofErr w:type="spellStart"/>
      <w:r w:rsidRPr="00B54CAA">
        <w:rPr>
          <w:rFonts w:ascii="Arial" w:eastAsia="Times New Roman" w:hAnsi="Arial" w:cs="Arial"/>
          <w:color w:val="000000"/>
          <w:lang w:val="fr-FR" w:eastAsia="fr-FR"/>
        </w:rPr>
        <w:t>catégorie</w:t>
      </w:r>
      <w:proofErr w:type="spellEnd"/>
      <w:r w:rsidRPr="00B54CAA">
        <w:rPr>
          <w:rFonts w:ascii="Arial" w:eastAsia="Times New Roman" w:hAnsi="Arial" w:cs="Arial"/>
          <w:color w:val="000000"/>
          <w:lang w:val="fr-FR" w:eastAsia="fr-FR"/>
        </w:rPr>
        <w:t xml:space="preserve"> M1 dont la 1</w:t>
      </w:r>
      <w:r w:rsidRPr="00B54CAA">
        <w:rPr>
          <w:rFonts w:ascii="Arial" w:eastAsia="Times New Roman" w:hAnsi="Arial" w:cs="Arial"/>
          <w:color w:val="000000"/>
          <w:vertAlign w:val="superscript"/>
          <w:lang w:val="fr-FR" w:eastAsia="fr-FR"/>
        </w:rPr>
        <w:t>re</w:t>
      </w:r>
      <w:r w:rsidRPr="00B54CAA">
        <w:rPr>
          <w:rFonts w:ascii="Arial" w:eastAsia="Times New Roman" w:hAnsi="Arial" w:cs="Arial"/>
          <w:color w:val="000000"/>
          <w:lang w:val="fr-FR" w:eastAsia="fr-FR"/>
        </w:rPr>
        <w:t xml:space="preserve"> mise en circulation est effectuée à partir du 1</w:t>
      </w:r>
      <w:r w:rsidRPr="00B54CAA">
        <w:rPr>
          <w:rFonts w:ascii="Arial" w:eastAsia="Times New Roman" w:hAnsi="Arial" w:cs="Arial"/>
          <w:color w:val="000000"/>
          <w:vertAlign w:val="superscript"/>
          <w:lang w:val="fr-FR" w:eastAsia="fr-FR"/>
        </w:rPr>
        <w:t>er</w:t>
      </w:r>
      <w:r w:rsidRPr="00B54CAA">
        <w:rPr>
          <w:rFonts w:ascii="Arial" w:eastAsia="Times New Roman" w:hAnsi="Arial" w:cs="Arial"/>
          <w:color w:val="000000"/>
          <w:lang w:val="fr-FR" w:eastAsia="fr-FR"/>
        </w:rPr>
        <w:t xml:space="preserve"> janvier 2021. Les nouvelles </w:t>
      </w:r>
      <w:r w:rsidRPr="00B54CAA">
        <w:rPr>
          <w:rFonts w:ascii="Arial" w:eastAsia="Times New Roman" w:hAnsi="Arial" w:cs="Arial"/>
          <w:color w:val="000000"/>
          <w:lang w:val="fr-FR" w:eastAsia="fr-FR"/>
        </w:rPr>
        <w:lastRenderedPageBreak/>
        <w:t xml:space="preserve">valeurs ne seront par contre pas </w:t>
      </w:r>
      <w:proofErr w:type="spellStart"/>
      <w:r w:rsidRPr="00B54CAA">
        <w:rPr>
          <w:rFonts w:ascii="Arial" w:eastAsia="Times New Roman" w:hAnsi="Arial" w:cs="Arial"/>
          <w:color w:val="000000"/>
          <w:lang w:val="fr-FR" w:eastAsia="fr-FR"/>
        </w:rPr>
        <w:t>appliquées</w:t>
      </w:r>
      <w:proofErr w:type="spellEnd"/>
      <w:r w:rsidRPr="00B54CAA">
        <w:rPr>
          <w:rFonts w:ascii="Arial" w:eastAsia="Times New Roman" w:hAnsi="Arial" w:cs="Arial"/>
          <w:color w:val="000000"/>
          <w:lang w:val="fr-FR" w:eastAsia="fr-FR"/>
        </w:rPr>
        <w:t xml:space="preserve"> de </w:t>
      </w:r>
      <w:proofErr w:type="spellStart"/>
      <w:r w:rsidRPr="00B54CAA">
        <w:rPr>
          <w:rFonts w:ascii="Arial" w:eastAsia="Times New Roman" w:hAnsi="Arial" w:cs="Arial"/>
          <w:color w:val="000000"/>
          <w:lang w:val="fr-FR" w:eastAsia="fr-FR"/>
        </w:rPr>
        <w:t>manière</w:t>
      </w:r>
      <w:proofErr w:type="spellEnd"/>
      <w:r w:rsidRPr="00B54CAA">
        <w:rPr>
          <w:rFonts w:ascii="Arial" w:eastAsia="Times New Roman" w:hAnsi="Arial" w:cs="Arial"/>
          <w:color w:val="000000"/>
          <w:lang w:val="fr-FR" w:eastAsia="fr-FR"/>
        </w:rPr>
        <w:t xml:space="preserve"> </w:t>
      </w:r>
      <w:proofErr w:type="spellStart"/>
      <w:r w:rsidRPr="00B54CAA">
        <w:rPr>
          <w:rFonts w:ascii="Arial" w:eastAsia="Times New Roman" w:hAnsi="Arial" w:cs="Arial"/>
          <w:color w:val="000000"/>
          <w:lang w:val="fr-FR" w:eastAsia="fr-FR"/>
        </w:rPr>
        <w:t>rétroactive</w:t>
      </w:r>
      <w:proofErr w:type="spellEnd"/>
      <w:r w:rsidRPr="00B54CAA">
        <w:rPr>
          <w:rFonts w:ascii="Arial" w:eastAsia="Times New Roman" w:hAnsi="Arial" w:cs="Arial"/>
          <w:color w:val="000000"/>
          <w:lang w:val="fr-FR" w:eastAsia="fr-FR"/>
        </w:rPr>
        <w:t xml:space="preserve"> lors du calcul de la taxe pour les voitures </w:t>
      </w:r>
      <w:proofErr w:type="spellStart"/>
      <w:r w:rsidRPr="00B54CAA">
        <w:rPr>
          <w:rFonts w:ascii="Arial" w:eastAsia="Times New Roman" w:hAnsi="Arial" w:cs="Arial"/>
          <w:color w:val="000000"/>
          <w:lang w:val="fr-FR" w:eastAsia="fr-FR"/>
        </w:rPr>
        <w:t>précitées</w:t>
      </w:r>
      <w:proofErr w:type="spellEnd"/>
      <w:r w:rsidRPr="00B54CAA">
        <w:rPr>
          <w:rFonts w:ascii="Arial" w:eastAsia="Times New Roman" w:hAnsi="Arial" w:cs="Arial"/>
          <w:color w:val="000000"/>
          <w:lang w:val="fr-FR" w:eastAsia="fr-FR"/>
        </w:rPr>
        <w:t xml:space="preserve"> déjà immatriculées au Luxembourg avant le 1</w:t>
      </w:r>
      <w:r w:rsidRPr="00B54CAA">
        <w:rPr>
          <w:rFonts w:ascii="Arial" w:eastAsia="Times New Roman" w:hAnsi="Arial" w:cs="Arial"/>
          <w:color w:val="000000"/>
          <w:vertAlign w:val="superscript"/>
          <w:lang w:val="fr-FR" w:eastAsia="fr-FR"/>
        </w:rPr>
        <w:t>er</w:t>
      </w:r>
      <w:r w:rsidRPr="00B54CAA">
        <w:rPr>
          <w:rFonts w:ascii="Arial" w:eastAsia="Times New Roman" w:hAnsi="Arial" w:cs="Arial"/>
          <w:color w:val="000000"/>
          <w:lang w:val="fr-FR" w:eastAsia="fr-FR"/>
        </w:rPr>
        <w:t xml:space="preserve"> janvier 2021. </w:t>
      </w:r>
    </w:p>
    <w:p w:rsidR="00B54CAA" w:rsidRPr="00B54CAA" w:rsidRDefault="00B54CAA" w:rsidP="00B54CAA">
      <w:pPr>
        <w:spacing w:after="0" w:line="240" w:lineRule="auto"/>
        <w:ind w:left="1247"/>
        <w:jc w:val="both"/>
        <w:rPr>
          <w:rFonts w:ascii="Arial" w:eastAsia="Times New Roman" w:hAnsi="Arial" w:cs="Arial"/>
          <w:lang w:val="fr-FR" w:eastAsia="fr-FR"/>
        </w:rPr>
      </w:pPr>
    </w:p>
    <w:p w:rsidR="00B54CAA" w:rsidRPr="00B54CAA" w:rsidRDefault="00B54CAA" w:rsidP="00B54CAA">
      <w:pPr>
        <w:spacing w:after="0" w:line="240" w:lineRule="auto"/>
        <w:ind w:left="1247"/>
        <w:jc w:val="both"/>
        <w:rPr>
          <w:rFonts w:ascii="Arial" w:eastAsia="Times New Roman" w:hAnsi="Arial" w:cs="Arial"/>
          <w:lang w:val="fr-FR" w:eastAsia="fr-FR"/>
        </w:rPr>
      </w:pPr>
      <w:r w:rsidRPr="00B54CAA">
        <w:rPr>
          <w:rFonts w:ascii="Arial" w:eastAsia="Times New Roman" w:hAnsi="Arial" w:cs="Arial"/>
          <w:lang w:val="fr-FR" w:eastAsia="fr-FR"/>
        </w:rPr>
        <w:t>Enfin, le projet de loi amendé propose</w:t>
      </w:r>
      <w:r w:rsidRPr="00B54CAA">
        <w:rPr>
          <w:rFonts w:ascii="Arial" w:eastAsia="Times New Roman" w:hAnsi="Arial" w:cs="Arial"/>
          <w:color w:val="0000FF"/>
          <w:u w:val="single"/>
          <w:lang w:val="fr-FR" w:eastAsia="fr-FR"/>
        </w:rPr>
        <w:t xml:space="preserve"> </w:t>
      </w:r>
      <w:r w:rsidRPr="00B54CAA">
        <w:rPr>
          <w:rFonts w:ascii="Arial" w:eastAsia="Times New Roman" w:hAnsi="Arial" w:cs="Arial"/>
          <w:lang w:val="fr-FR" w:eastAsia="fr-FR"/>
        </w:rPr>
        <w:t xml:space="preserve">d’augmenter le montant de la taxe qui peut être remboursé aux familles nombreuses d’au moins cinq personnes. Jamais adapté depuis son introduction en 2008, ledit montant augmentera de 80 euros actuellement </w:t>
      </w:r>
      <w:proofErr w:type="spellStart"/>
      <w:r w:rsidRPr="00B54CAA">
        <w:rPr>
          <w:rFonts w:ascii="Arial" w:eastAsia="Times New Roman" w:hAnsi="Arial" w:cs="Arial"/>
          <w:lang w:val="fr-FR" w:eastAsia="fr-FR"/>
        </w:rPr>
        <w:t>a</w:t>
      </w:r>
      <w:proofErr w:type="spellEnd"/>
      <w:r w:rsidRPr="00B54CAA">
        <w:rPr>
          <w:rFonts w:ascii="Arial" w:eastAsia="Times New Roman" w:hAnsi="Arial" w:cs="Arial"/>
          <w:lang w:val="fr-FR" w:eastAsia="fr-FR"/>
        </w:rPr>
        <w:t xml:space="preserve">̀ 125 euros. </w:t>
      </w:r>
    </w:p>
    <w:p w:rsidR="008260C4" w:rsidRPr="00B54CAA" w:rsidRDefault="008260C4">
      <w:pPr>
        <w:rPr>
          <w:lang w:val="fr-FR"/>
        </w:rPr>
      </w:pPr>
    </w:p>
    <w:sectPr w:rsidR="008260C4" w:rsidRPr="00B54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CAA"/>
    <w:rsid w:val="002B5C77"/>
    <w:rsid w:val="004D686B"/>
    <w:rsid w:val="00510E44"/>
    <w:rsid w:val="008260C4"/>
    <w:rsid w:val="008E0AB4"/>
    <w:rsid w:val="00B54CAA"/>
    <w:rsid w:val="00D013C2"/>
    <w:rsid w:val="00F5713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6D4449-7435-4A86-AA24-AB0AF8EF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0E35C4-DEEB-4E76-9498-F8F5722B8C8F}"/>
</file>

<file path=customXml/itemProps2.xml><?xml version="1.0" encoding="utf-8"?>
<ds:datastoreItem xmlns:ds="http://schemas.openxmlformats.org/officeDocument/2006/customXml" ds:itemID="{C7EF5843-A302-4504-A00C-EF2B73C6A0B4}"/>
</file>

<file path=customXml/itemProps3.xml><?xml version="1.0" encoding="utf-8"?>
<ds:datastoreItem xmlns:ds="http://schemas.openxmlformats.org/officeDocument/2006/customXml" ds:itemID="{C3BE132F-21A6-4D37-99AC-A7C2840C48BD}"/>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2202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