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888" w:rsidRPr="00ED0888" w:rsidRDefault="00ED0888" w:rsidP="00ED0888">
      <w:pPr>
        <w:keepNext/>
        <w:tabs>
          <w:tab w:val="left" w:pos="10080"/>
          <w:tab w:val="left" w:pos="10800"/>
        </w:tabs>
        <w:ind w:right="-34" w:firstLine="170"/>
        <w:jc w:val="center"/>
        <w:rPr>
          <w:rFonts w:eastAsia="Calibri" w:cs="Arial"/>
          <w:b/>
          <w:color w:val="auto"/>
          <w:sz w:val="22"/>
          <w:szCs w:val="22"/>
          <w:lang w:val="fr-FR" w:eastAsia="en-US"/>
        </w:rPr>
      </w:pPr>
      <w:bookmarkStart w:id="0" w:name="_GoBack"/>
      <w:bookmarkEnd w:id="0"/>
      <w:r w:rsidRPr="00ED0888">
        <w:rPr>
          <w:rFonts w:cs="Arial"/>
          <w:b/>
          <w:snapToGrid w:val="0"/>
          <w:color w:val="auto"/>
          <w:sz w:val="22"/>
          <w:szCs w:val="22"/>
          <w:lang w:val="fr-FR" w:eastAsia="en-US"/>
        </w:rPr>
        <w:t xml:space="preserve">Projet de loi concernant le budget des recettes et des dépenses de </w:t>
      </w:r>
      <w:r w:rsidRPr="00ED0888">
        <w:rPr>
          <w:rFonts w:eastAsia="Calibri" w:cs="Arial"/>
          <w:b/>
          <w:color w:val="auto"/>
          <w:sz w:val="22"/>
          <w:szCs w:val="22"/>
          <w:lang w:val="fr-FR" w:eastAsia="en-US"/>
        </w:rPr>
        <w:t>l’État</w:t>
      </w:r>
    </w:p>
    <w:p w:rsidR="00ED0888" w:rsidRPr="00ED0888" w:rsidRDefault="00ED0888" w:rsidP="00ED0888">
      <w:pPr>
        <w:widowControl w:val="0"/>
        <w:ind w:right="-34"/>
        <w:jc w:val="center"/>
        <w:rPr>
          <w:rFonts w:cs="Arial"/>
          <w:b/>
          <w:snapToGrid w:val="0"/>
          <w:color w:val="auto"/>
          <w:sz w:val="22"/>
          <w:szCs w:val="22"/>
          <w:lang w:val="fr-FR" w:eastAsia="en-US"/>
        </w:rPr>
      </w:pPr>
      <w:r w:rsidRPr="00ED0888">
        <w:rPr>
          <w:rFonts w:cs="Arial"/>
          <w:b/>
          <w:snapToGrid w:val="0"/>
          <w:color w:val="auto"/>
          <w:sz w:val="22"/>
          <w:szCs w:val="22"/>
          <w:lang w:val="fr-FR" w:eastAsia="en-US"/>
        </w:rPr>
        <w:t>pour l’exercice 2020 et modifiant :</w:t>
      </w:r>
    </w:p>
    <w:p w:rsidR="00ED0888" w:rsidRPr="00ED0888" w:rsidRDefault="00ED0888" w:rsidP="00ED0888">
      <w:pPr>
        <w:keepNext/>
        <w:numPr>
          <w:ilvl w:val="0"/>
          <w:numId w:val="16"/>
        </w:numPr>
        <w:spacing w:after="120"/>
        <w:ind w:left="851" w:hanging="425"/>
        <w:contextualSpacing/>
        <w:jc w:val="both"/>
        <w:rPr>
          <w:rFonts w:eastAsia="Calibri" w:cs="Arial"/>
          <w:b/>
          <w:color w:val="auto"/>
          <w:sz w:val="22"/>
          <w:szCs w:val="22"/>
          <w:lang w:val="fr-FR" w:eastAsia="en-US"/>
        </w:rPr>
      </w:pPr>
      <w:r w:rsidRPr="00ED0888">
        <w:rPr>
          <w:rFonts w:cs="Arial"/>
          <w:b/>
          <w:snapToGrid w:val="0"/>
          <w:color w:val="auto"/>
          <w:sz w:val="22"/>
          <w:szCs w:val="22"/>
          <w:lang w:val="fr-FR" w:eastAsia="en-US"/>
        </w:rPr>
        <w:t>la loi générale des impôts modifiée du 22 mai 1931 (« Abgabenordnung ») ;</w:t>
      </w:r>
    </w:p>
    <w:p w:rsidR="00ED0888" w:rsidRPr="00ED0888" w:rsidRDefault="00ED0888" w:rsidP="00ED0888">
      <w:pPr>
        <w:keepNext/>
        <w:numPr>
          <w:ilvl w:val="0"/>
          <w:numId w:val="16"/>
        </w:numPr>
        <w:spacing w:after="120"/>
        <w:ind w:left="851" w:hanging="425"/>
        <w:contextualSpacing/>
        <w:jc w:val="both"/>
        <w:rPr>
          <w:rFonts w:eastAsia="Calibri" w:cs="Arial"/>
          <w:b/>
          <w:color w:val="auto"/>
          <w:sz w:val="22"/>
          <w:szCs w:val="22"/>
          <w:lang w:val="fr-FR" w:eastAsia="en-US"/>
        </w:rPr>
      </w:pPr>
      <w:r w:rsidRPr="00ED0888">
        <w:rPr>
          <w:rFonts w:eastAsia="Calibri" w:cs="Arial"/>
          <w:b/>
          <w:bCs/>
          <w:color w:val="auto"/>
          <w:sz w:val="22"/>
          <w:szCs w:val="22"/>
          <w:lang w:val="fr-FR" w:eastAsia="en-US"/>
        </w:rPr>
        <w:t>la loi du 27 juillet 1938, portant création d'un fonds de réserve pour la crise ;</w:t>
      </w:r>
    </w:p>
    <w:p w:rsidR="00ED0888" w:rsidRPr="00ED0888" w:rsidRDefault="00ED0888" w:rsidP="00ED0888">
      <w:pPr>
        <w:keepNext/>
        <w:numPr>
          <w:ilvl w:val="0"/>
          <w:numId w:val="16"/>
        </w:numPr>
        <w:spacing w:after="120"/>
        <w:ind w:left="851" w:hanging="425"/>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la loi modifiée du 4 décembre 1967 concernant l’impôt sur le revenu ;</w:t>
      </w:r>
    </w:p>
    <w:p w:rsidR="00ED0888" w:rsidRPr="00ED0888" w:rsidRDefault="00ED0888" w:rsidP="00ED0888">
      <w:pPr>
        <w:keepNext/>
        <w:numPr>
          <w:ilvl w:val="0"/>
          <w:numId w:val="16"/>
        </w:numPr>
        <w:spacing w:after="120"/>
        <w:ind w:left="851" w:hanging="425"/>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la loi modifiée du 10 mars 1969 portant institution d’une inspection générale des finances ;</w:t>
      </w:r>
    </w:p>
    <w:p w:rsidR="00ED0888" w:rsidRPr="00ED0888" w:rsidRDefault="00ED0888" w:rsidP="00ED0888">
      <w:pPr>
        <w:keepNext/>
        <w:numPr>
          <w:ilvl w:val="0"/>
          <w:numId w:val="16"/>
        </w:numPr>
        <w:spacing w:after="120"/>
        <w:ind w:left="851" w:hanging="425"/>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la loi modifiée du 12 février 1979 concernant la taxe sur la valeur ajoutée ;</w:t>
      </w:r>
    </w:p>
    <w:p w:rsidR="00ED0888" w:rsidRPr="00ED0888" w:rsidRDefault="00ED0888" w:rsidP="00ED0888">
      <w:pPr>
        <w:keepNext/>
        <w:widowControl w:val="0"/>
        <w:numPr>
          <w:ilvl w:val="0"/>
          <w:numId w:val="18"/>
        </w:numPr>
        <w:tabs>
          <w:tab w:val="left" w:pos="1276"/>
        </w:tabs>
        <w:spacing w:after="120"/>
        <w:ind w:left="851" w:hanging="425"/>
        <w:contextualSpacing/>
        <w:jc w:val="both"/>
        <w:outlineLvl w:val="0"/>
        <w:rPr>
          <w:rFonts w:cs="Arial"/>
          <w:b/>
          <w:snapToGrid w:val="0"/>
          <w:color w:val="auto"/>
          <w:sz w:val="22"/>
          <w:szCs w:val="22"/>
          <w:lang w:val="fr-FR" w:eastAsia="en-US"/>
        </w:rPr>
      </w:pPr>
      <w:r w:rsidRPr="00ED0888">
        <w:rPr>
          <w:rFonts w:cs="Arial"/>
          <w:b/>
          <w:snapToGrid w:val="0"/>
          <w:color w:val="auto"/>
          <w:sz w:val="22"/>
          <w:szCs w:val="22"/>
          <w:lang w:val="fr-FR" w:eastAsia="en-US"/>
        </w:rPr>
        <w:t>la loi modifiée du 24 décembre 1996 portant introduction d’une bonification d’impôt sur le revenu en cas d’embauchage de chômeurs ;</w:t>
      </w:r>
    </w:p>
    <w:p w:rsidR="00ED0888" w:rsidRPr="00ED0888" w:rsidRDefault="00ED0888" w:rsidP="00ED0888">
      <w:pPr>
        <w:keepNext/>
        <w:numPr>
          <w:ilvl w:val="0"/>
          <w:numId w:val="18"/>
        </w:numPr>
        <w:spacing w:after="120"/>
        <w:ind w:left="851" w:hanging="425"/>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la loi modifiée du 28 avril 1998 portant </w:t>
      </w:r>
    </w:p>
    <w:p w:rsidR="00ED0888" w:rsidRPr="00ED0888" w:rsidRDefault="00ED0888" w:rsidP="00ED0888">
      <w:pPr>
        <w:keepNext/>
        <w:numPr>
          <w:ilvl w:val="0"/>
          <w:numId w:val="17"/>
        </w:numPr>
        <w:spacing w:after="120"/>
        <w:ind w:left="1134" w:hanging="283"/>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harmonisation de l’enseignement musical dans le secteur communal ;</w:t>
      </w:r>
    </w:p>
    <w:p w:rsidR="00ED0888" w:rsidRPr="00ED0888" w:rsidRDefault="00ED0888" w:rsidP="00ED0888">
      <w:pPr>
        <w:keepNext/>
        <w:numPr>
          <w:ilvl w:val="0"/>
          <w:numId w:val="17"/>
        </w:numPr>
        <w:spacing w:after="120"/>
        <w:ind w:left="1134" w:hanging="283"/>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modification de l’article 5 de la loi du 24 mai 1989 sur le contrat de travail ;</w:t>
      </w:r>
    </w:p>
    <w:p w:rsidR="00ED0888" w:rsidRPr="00ED0888" w:rsidRDefault="00ED0888" w:rsidP="00ED0888">
      <w:pPr>
        <w:keepNext/>
        <w:numPr>
          <w:ilvl w:val="0"/>
          <w:numId w:val="17"/>
        </w:numPr>
        <w:spacing w:after="120"/>
        <w:ind w:left="1134" w:hanging="283"/>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modification de la loi modifiée du 22 juin 1963 fixant le régime des traitements des fonctionnaires de l’Etat ;</w:t>
      </w:r>
    </w:p>
    <w:p w:rsidR="00ED0888" w:rsidRPr="00ED0888" w:rsidRDefault="00ED0888" w:rsidP="00ED0888">
      <w:pPr>
        <w:ind w:left="851" w:hanging="425"/>
        <w:jc w:val="both"/>
        <w:rPr>
          <w:rFonts w:eastAsia="Calibri" w:cs="Arial"/>
          <w:b/>
          <w:color w:val="auto"/>
          <w:sz w:val="22"/>
          <w:szCs w:val="22"/>
          <w:lang w:val="fr-FR" w:eastAsia="en-US"/>
        </w:rPr>
      </w:pPr>
      <w:r w:rsidRPr="00ED0888">
        <w:rPr>
          <w:rFonts w:eastAsia="Calibri" w:cs="Arial"/>
          <w:b/>
          <w:color w:val="auto"/>
          <w:sz w:val="22"/>
          <w:szCs w:val="22"/>
          <w:lang w:val="fr-FR" w:eastAsia="en-US"/>
        </w:rPr>
        <w:t>8°</w:t>
      </w:r>
      <w:r w:rsidRPr="00ED0888">
        <w:rPr>
          <w:rFonts w:eastAsia="Calibri" w:cs="Arial"/>
          <w:b/>
          <w:color w:val="auto"/>
          <w:sz w:val="22"/>
          <w:szCs w:val="22"/>
          <w:lang w:val="fr-FR" w:eastAsia="en-US"/>
        </w:rPr>
        <w:tab/>
        <w:t xml:space="preserve">la loi électorale du </w:t>
      </w:r>
      <w:r w:rsidRPr="00ED0888">
        <w:rPr>
          <w:rFonts w:eastAsia="Calibri" w:cs="Arial"/>
          <w:b/>
          <w:bCs/>
          <w:color w:val="auto"/>
          <w:sz w:val="22"/>
          <w:szCs w:val="22"/>
          <w:lang w:val="fr-LU" w:eastAsia="en-US"/>
        </w:rPr>
        <w:t>18 février 2003 telle que modifiée ;</w:t>
      </w:r>
      <w:r w:rsidRPr="00ED0888">
        <w:rPr>
          <w:rFonts w:eastAsia="Calibri" w:cs="Arial"/>
          <w:color w:val="auto"/>
          <w:sz w:val="22"/>
          <w:szCs w:val="22"/>
          <w:lang w:val="fr-LU" w:eastAsia="en-US"/>
        </w:rPr>
        <w:t xml:space="preserve"> </w:t>
      </w:r>
      <w:r w:rsidRPr="00ED0888">
        <w:rPr>
          <w:rFonts w:eastAsia="Calibri" w:cs="Arial"/>
          <w:b/>
          <w:color w:val="auto"/>
          <w:sz w:val="22"/>
          <w:szCs w:val="22"/>
          <w:lang w:val="fr-FR" w:eastAsia="en-US"/>
        </w:rPr>
        <w:t xml:space="preserve"> </w:t>
      </w:r>
      <w:r w:rsidRPr="00ED0888">
        <w:rPr>
          <w:rFonts w:eastAsia="Calibri" w:cs="Arial"/>
          <w:b/>
          <w:color w:val="auto"/>
          <w:sz w:val="22"/>
          <w:szCs w:val="22"/>
          <w:lang w:val="fr-FR" w:eastAsia="en-US"/>
        </w:rPr>
        <w:tab/>
      </w:r>
    </w:p>
    <w:p w:rsidR="00ED0888" w:rsidRPr="00ED0888" w:rsidRDefault="00ED0888" w:rsidP="00ED0888">
      <w:pPr>
        <w:ind w:left="851" w:hanging="425"/>
        <w:jc w:val="both"/>
        <w:rPr>
          <w:rFonts w:eastAsia="Calibri" w:cs="Arial"/>
          <w:b/>
          <w:color w:val="auto"/>
          <w:sz w:val="22"/>
          <w:szCs w:val="22"/>
          <w:lang w:val="fr-FR" w:eastAsia="en-US"/>
        </w:rPr>
      </w:pPr>
      <w:r w:rsidRPr="00ED0888">
        <w:rPr>
          <w:rFonts w:eastAsia="Calibri" w:cs="Arial"/>
          <w:b/>
          <w:color w:val="auto"/>
          <w:sz w:val="22"/>
          <w:szCs w:val="22"/>
          <w:lang w:val="fr-FR" w:eastAsia="en-US"/>
        </w:rPr>
        <w:t>9° la loi modifiée du 17 décembre 2010 fixant les droits d’accise et les taxes assimilées sur les produits énergétiques, l’électricité, les produits de tabacs manufacturés, l’alcool et les boissons alcooliques ;</w:t>
      </w:r>
    </w:p>
    <w:p w:rsidR="00ED0888" w:rsidRPr="00ED0888" w:rsidRDefault="00ED0888" w:rsidP="00ED0888">
      <w:pPr>
        <w:ind w:left="851" w:hanging="425"/>
        <w:jc w:val="both"/>
        <w:rPr>
          <w:rFonts w:eastAsia="Calibri" w:cs="Arial"/>
          <w:b/>
          <w:color w:val="auto"/>
          <w:sz w:val="22"/>
          <w:szCs w:val="22"/>
          <w:lang w:val="fr-FR" w:eastAsia="en-US"/>
        </w:rPr>
      </w:pPr>
      <w:r w:rsidRPr="00ED0888">
        <w:rPr>
          <w:rFonts w:eastAsia="Calibri" w:cs="Arial"/>
          <w:b/>
          <w:color w:val="auto"/>
          <w:sz w:val="22"/>
          <w:szCs w:val="22"/>
          <w:lang w:val="fr-FR" w:eastAsia="en-US"/>
        </w:rPr>
        <w:t>10° la loi modifiée du 29 avril 2014 concernant le budget des recettes et des dépenses de l’État pour l’exercice 2014 ;</w:t>
      </w:r>
    </w:p>
    <w:p w:rsidR="00ED0888" w:rsidRPr="00ED0888" w:rsidRDefault="00ED0888" w:rsidP="00ED0888">
      <w:pPr>
        <w:ind w:left="851" w:hanging="425"/>
        <w:jc w:val="both"/>
        <w:rPr>
          <w:rFonts w:eastAsia="Calibri" w:cs="Arial"/>
          <w:b/>
          <w:color w:val="auto"/>
          <w:sz w:val="22"/>
          <w:szCs w:val="22"/>
          <w:lang w:val="fr-FR" w:eastAsia="en-US"/>
        </w:rPr>
      </w:pPr>
      <w:r w:rsidRPr="00ED0888">
        <w:rPr>
          <w:rFonts w:eastAsia="Calibri" w:cs="Arial"/>
          <w:b/>
          <w:color w:val="auto"/>
          <w:sz w:val="22"/>
          <w:szCs w:val="22"/>
          <w:lang w:val="fr-FR" w:eastAsia="en-US"/>
        </w:rPr>
        <w:t>11° la loi modifiée du 25 mars 2015 fixant le régime des traitements et les conditions et modalités d’avancement des fonctionnaires de l’État ;</w:t>
      </w:r>
    </w:p>
    <w:p w:rsidR="00ED0888" w:rsidRPr="00ED0888" w:rsidRDefault="00ED0888" w:rsidP="00ED0888">
      <w:pPr>
        <w:ind w:left="851" w:hanging="425"/>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12° la loi du 27 mars 2018 portant organisation de la sécurité civile ;</w:t>
      </w:r>
    </w:p>
    <w:p w:rsidR="00ED0888" w:rsidRPr="00ED0888" w:rsidRDefault="00ED0888" w:rsidP="00ED0888">
      <w:pPr>
        <w:ind w:left="851" w:hanging="425"/>
        <w:contextualSpacing/>
        <w:jc w:val="both"/>
        <w:rPr>
          <w:rFonts w:eastAsia="Calibri" w:cs="Arial"/>
          <w:b/>
          <w:color w:val="auto"/>
          <w:sz w:val="22"/>
          <w:szCs w:val="22"/>
          <w:lang w:val="fr-FR" w:eastAsia="en-US"/>
        </w:rPr>
      </w:pPr>
      <w:r w:rsidRPr="00ED0888">
        <w:rPr>
          <w:rFonts w:eastAsia="Calibri" w:cs="Arial"/>
          <w:b/>
          <w:color w:val="auto"/>
          <w:sz w:val="22"/>
          <w:szCs w:val="22"/>
          <w:lang w:val="fr-FR" w:eastAsia="en-US"/>
        </w:rPr>
        <w:t>13°</w:t>
      </w:r>
      <w:r w:rsidRPr="00ED0888">
        <w:rPr>
          <w:rFonts w:eastAsia="Calibri" w:cs="Arial"/>
          <w:b/>
          <w:color w:val="auto"/>
          <w:sz w:val="22"/>
          <w:szCs w:val="22"/>
          <w:lang w:val="fr-FR" w:eastAsia="en-US"/>
        </w:rPr>
        <w:tab/>
        <w:t>la loi du 10 août 2018 portant organisation de l’Administration de l’enregistrement, des domaines et de la TVA</w:t>
      </w:r>
    </w:p>
    <w:p w:rsidR="003F5D51" w:rsidRPr="008768EF" w:rsidRDefault="003F5D51" w:rsidP="003F5D51">
      <w:pPr>
        <w:autoSpaceDE w:val="0"/>
        <w:autoSpaceDN w:val="0"/>
        <w:jc w:val="both"/>
        <w:rPr>
          <w:rFonts w:cs="Arial"/>
          <w:color w:val="7030A0"/>
          <w:sz w:val="22"/>
          <w:szCs w:val="22"/>
          <w:lang w:val="fr-FR"/>
        </w:rPr>
      </w:pPr>
    </w:p>
    <w:p w:rsidR="00ED0888" w:rsidRDefault="00ED0888" w:rsidP="00ED0888">
      <w:pPr>
        <w:widowControl w:val="0"/>
        <w:tabs>
          <w:tab w:val="left" w:pos="10080"/>
          <w:tab w:val="left" w:pos="10800"/>
        </w:tabs>
        <w:ind w:right="159"/>
        <w:jc w:val="both"/>
        <w:rPr>
          <w:rFonts w:cs="Arial"/>
          <w:snapToGrid w:val="0"/>
          <w:color w:val="auto"/>
          <w:sz w:val="22"/>
          <w:szCs w:val="22"/>
          <w:lang w:val="fr-FR" w:eastAsia="en-US"/>
        </w:rPr>
      </w:pPr>
    </w:p>
    <w:p w:rsidR="00ED0888" w:rsidRPr="00ED0888" w:rsidRDefault="00ED0888" w:rsidP="00ED0888">
      <w:pPr>
        <w:widowControl w:val="0"/>
        <w:tabs>
          <w:tab w:val="left" w:pos="10080"/>
          <w:tab w:val="left" w:pos="10800"/>
        </w:tabs>
        <w:ind w:right="159"/>
        <w:jc w:val="both"/>
        <w:rPr>
          <w:rFonts w:cs="Arial"/>
          <w:snapToGrid w:val="0"/>
          <w:color w:val="auto"/>
          <w:sz w:val="22"/>
          <w:szCs w:val="22"/>
          <w:lang w:val="fr-FR" w:eastAsia="en-US"/>
        </w:rPr>
      </w:pPr>
      <w:r w:rsidRPr="00ED0888">
        <w:rPr>
          <w:rFonts w:cs="Arial"/>
          <w:snapToGrid w:val="0"/>
          <w:color w:val="auto"/>
          <w:sz w:val="22"/>
          <w:szCs w:val="22"/>
          <w:lang w:val="fr-FR" w:eastAsia="en-US"/>
        </w:rPr>
        <w:t>Le budget de l'État pour l'exercice 2020 est arrêté aux montants suivants :</w:t>
      </w:r>
    </w:p>
    <w:p w:rsidR="00ED0888" w:rsidRPr="00ED0888" w:rsidRDefault="00ED0888" w:rsidP="00ED0888">
      <w:pPr>
        <w:widowControl w:val="0"/>
        <w:tabs>
          <w:tab w:val="left" w:pos="10080"/>
          <w:tab w:val="left" w:pos="10800"/>
        </w:tabs>
        <w:ind w:right="159" w:firstLine="426"/>
        <w:jc w:val="both"/>
        <w:rPr>
          <w:rFonts w:cs="Arial"/>
          <w:snapToGrid w:val="0"/>
          <w:color w:val="auto"/>
          <w:sz w:val="22"/>
          <w:szCs w:val="22"/>
          <w:lang w:val="fr-FR" w:eastAsia="en-US"/>
        </w:rPr>
      </w:pPr>
    </w:p>
    <w:tbl>
      <w:tblPr>
        <w:tblW w:w="9632" w:type="dxa"/>
        <w:tblInd w:w="213" w:type="dxa"/>
        <w:tblLayout w:type="fixed"/>
        <w:tblCellMar>
          <w:left w:w="71" w:type="dxa"/>
          <w:right w:w="71" w:type="dxa"/>
        </w:tblCellMar>
        <w:tblLook w:val="0000" w:firstRow="0" w:lastRow="0" w:firstColumn="0" w:lastColumn="0" w:noHBand="0" w:noVBand="0"/>
      </w:tblPr>
      <w:tblGrid>
        <w:gridCol w:w="3900"/>
        <w:gridCol w:w="764"/>
        <w:gridCol w:w="2064"/>
        <w:gridCol w:w="764"/>
        <w:gridCol w:w="2140"/>
      </w:tblGrid>
      <w:tr w:rsidR="00ED0888" w:rsidRPr="00ED0888" w:rsidTr="00ED0888">
        <w:trPr>
          <w:trHeight w:val="276"/>
        </w:trPr>
        <w:tc>
          <w:tcPr>
            <w:tcW w:w="3900" w:type="dxa"/>
          </w:tcPr>
          <w:p w:rsidR="00ED0888" w:rsidRPr="00ED0888" w:rsidRDefault="00ED0888" w:rsidP="00ED0888">
            <w:pPr>
              <w:widowControl w:val="0"/>
              <w:tabs>
                <w:tab w:val="left" w:leader="dot" w:pos="3401"/>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 Recettes courantes</w:t>
            </w:r>
            <w:r w:rsidRPr="00ED0888">
              <w:rPr>
                <w:rFonts w:cs="Arial"/>
                <w:snapToGrid w:val="0"/>
                <w:color w:val="auto"/>
                <w:sz w:val="22"/>
                <w:szCs w:val="22"/>
                <w:lang w:val="fr-FR" w:eastAsia="en-US"/>
              </w:rPr>
              <w:tab/>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euros</w:t>
            </w: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r w:rsidRPr="00ED0888">
              <w:rPr>
                <w:rFonts w:eastAsia="Calibri" w:cs="Arial"/>
                <w:color w:val="auto"/>
                <w:sz w:val="22"/>
                <w:szCs w:val="22"/>
                <w:lang w:val="fr-FR" w:eastAsia="en-US"/>
              </w:rPr>
              <w:t>17 786 691 895</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rPr>
                <w:rFonts w:cs="Arial"/>
                <w:snapToGrid w:val="0"/>
                <w:color w:val="auto"/>
                <w:sz w:val="22"/>
                <w:szCs w:val="22"/>
                <w:lang w:val="fr-FR" w:eastAsia="en-US"/>
              </w:rPr>
            </w:pPr>
          </w:p>
        </w:tc>
      </w:tr>
      <w:tr w:rsidR="00ED0888" w:rsidRPr="00ED0888" w:rsidTr="00ED0888">
        <w:trPr>
          <w:trHeight w:val="276"/>
        </w:trPr>
        <w:tc>
          <w:tcPr>
            <w:tcW w:w="3900" w:type="dxa"/>
          </w:tcPr>
          <w:p w:rsidR="00ED0888" w:rsidRPr="00ED0888" w:rsidRDefault="00ED0888" w:rsidP="00ED0888">
            <w:pPr>
              <w:widowControl w:val="0"/>
              <w:tabs>
                <w:tab w:val="left" w:leader="dot" w:pos="3401"/>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 Recettes en capital</w:t>
            </w:r>
            <w:r w:rsidRPr="00ED0888">
              <w:rPr>
                <w:rFonts w:cs="Arial"/>
                <w:snapToGrid w:val="0"/>
                <w:color w:val="auto"/>
                <w:sz w:val="22"/>
                <w:szCs w:val="22"/>
                <w:lang w:val="fr-FR" w:eastAsia="en-US"/>
              </w:rPr>
              <w:tab/>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euros</w:t>
            </w: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r w:rsidRPr="00ED0888">
              <w:rPr>
                <w:rFonts w:eastAsia="Calibri" w:cs="Arial"/>
                <w:color w:val="auto"/>
                <w:sz w:val="22"/>
                <w:szCs w:val="22"/>
                <w:lang w:val="fr-FR" w:eastAsia="en-US"/>
              </w:rPr>
              <w:t>98 894 500</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rPr>
                <w:rFonts w:cs="Arial"/>
                <w:snapToGrid w:val="0"/>
                <w:color w:val="auto"/>
                <w:sz w:val="22"/>
                <w:szCs w:val="22"/>
                <w:lang w:val="fr-FR" w:eastAsia="en-US"/>
              </w:rPr>
            </w:pPr>
          </w:p>
        </w:tc>
      </w:tr>
      <w:tr w:rsidR="00ED0888" w:rsidRPr="00ED0888" w:rsidTr="00ED0888">
        <w:trPr>
          <w:trHeight w:val="300"/>
        </w:trPr>
        <w:tc>
          <w:tcPr>
            <w:tcW w:w="3900" w:type="dxa"/>
          </w:tcPr>
          <w:p w:rsidR="00ED0888" w:rsidRPr="00ED0888" w:rsidRDefault="00ED0888" w:rsidP="00ED0888">
            <w:pPr>
              <w:widowControl w:val="0"/>
              <w:tabs>
                <w:tab w:val="left" w:leader="dot" w:pos="3401"/>
                <w:tab w:val="left" w:pos="10080"/>
                <w:tab w:val="left" w:pos="10800"/>
              </w:tabs>
              <w:rPr>
                <w:rFonts w:cs="Arial"/>
                <w:snapToGrid w:val="0"/>
                <w:color w:val="auto"/>
                <w:sz w:val="22"/>
                <w:szCs w:val="22"/>
                <w:lang w:val="fr-FR" w:eastAsia="en-US"/>
              </w:rPr>
            </w:pPr>
            <w:r w:rsidRPr="00ED0888">
              <w:rPr>
                <w:rFonts w:cs="Arial"/>
                <w:snapToGrid w:val="0"/>
                <w:color w:val="auto"/>
                <w:sz w:val="22"/>
                <w:szCs w:val="22"/>
                <w:lang w:val="fr-FR" w:eastAsia="en-US"/>
              </w:rPr>
              <w:t>- Recettes des opérations financières</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euros</w:t>
            </w: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r w:rsidRPr="00ED0888">
              <w:rPr>
                <w:rFonts w:eastAsia="Calibri" w:cs="Arial"/>
                <w:color w:val="auto"/>
                <w:sz w:val="22"/>
                <w:szCs w:val="22"/>
                <w:lang w:val="fr-FR" w:eastAsia="en-US"/>
              </w:rPr>
              <w:t>2 458 175 400</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rPr>
                <w:rFonts w:cs="Arial"/>
                <w:snapToGrid w:val="0"/>
                <w:color w:val="auto"/>
                <w:sz w:val="22"/>
                <w:szCs w:val="22"/>
                <w:lang w:val="fr-FR" w:eastAsia="en-US"/>
              </w:rPr>
            </w:pPr>
          </w:p>
        </w:tc>
      </w:tr>
      <w:tr w:rsidR="00ED0888" w:rsidRPr="00ED0888" w:rsidTr="00ED0888">
        <w:trPr>
          <w:trHeight w:val="300"/>
        </w:trPr>
        <w:tc>
          <w:tcPr>
            <w:tcW w:w="3900" w:type="dxa"/>
          </w:tcPr>
          <w:p w:rsidR="00ED0888" w:rsidRPr="00ED0888" w:rsidRDefault="00ED0888" w:rsidP="00ED0888">
            <w:pPr>
              <w:widowControl w:val="0"/>
              <w:tabs>
                <w:tab w:val="left" w:leader="dot" w:pos="2835"/>
                <w:tab w:val="left" w:leader="dot" w:pos="3401"/>
                <w:tab w:val="left" w:pos="10080"/>
                <w:tab w:val="left" w:pos="10800"/>
              </w:tabs>
              <w:ind w:firstLine="737"/>
              <w:jc w:val="both"/>
              <w:rPr>
                <w:rFonts w:cs="Arial"/>
                <w:snapToGrid w:val="0"/>
                <w:color w:val="auto"/>
                <w:sz w:val="22"/>
                <w:szCs w:val="22"/>
                <w:lang w:val="fr-FR" w:eastAsia="en-US"/>
              </w:rPr>
            </w:pP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rPr>
                <w:rFonts w:cs="Arial"/>
                <w:snapToGrid w:val="0"/>
                <w:color w:val="auto"/>
                <w:sz w:val="22"/>
                <w:szCs w:val="22"/>
                <w:lang w:val="fr-FR" w:eastAsia="en-US"/>
              </w:rPr>
            </w:pPr>
          </w:p>
        </w:tc>
      </w:tr>
      <w:tr w:rsidR="00ED0888" w:rsidRPr="00ED0888" w:rsidTr="00ED0888">
        <w:trPr>
          <w:trHeight w:val="276"/>
        </w:trPr>
        <w:tc>
          <w:tcPr>
            <w:tcW w:w="3900" w:type="dxa"/>
          </w:tcPr>
          <w:p w:rsidR="00ED0888" w:rsidRPr="00ED0888" w:rsidRDefault="00ED0888" w:rsidP="00ED0888">
            <w:pPr>
              <w:widowControl w:val="0"/>
              <w:tabs>
                <w:tab w:val="left" w:leader="dot" w:pos="3401"/>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 xml:space="preserve">- Dépenses courantes </w:t>
            </w:r>
            <w:r w:rsidRPr="00ED0888">
              <w:rPr>
                <w:rFonts w:cs="Arial"/>
                <w:snapToGrid w:val="0"/>
                <w:color w:val="auto"/>
                <w:sz w:val="22"/>
                <w:szCs w:val="22"/>
                <w:lang w:val="fr-FR" w:eastAsia="en-US"/>
              </w:rPr>
              <w:tab/>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euros</w:t>
            </w: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r w:rsidRPr="00ED0888">
              <w:rPr>
                <w:rFonts w:eastAsia="Calibri" w:cs="Arial"/>
                <w:color w:val="auto"/>
                <w:sz w:val="22"/>
                <w:szCs w:val="22"/>
                <w:lang w:val="fr-FR" w:eastAsia="en-US"/>
              </w:rPr>
              <w:t>16 318 324 736</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p>
        </w:tc>
      </w:tr>
      <w:tr w:rsidR="00ED0888" w:rsidRPr="00ED0888" w:rsidTr="00ED0888">
        <w:trPr>
          <w:trHeight w:val="276"/>
        </w:trPr>
        <w:tc>
          <w:tcPr>
            <w:tcW w:w="3900" w:type="dxa"/>
          </w:tcPr>
          <w:p w:rsidR="00ED0888" w:rsidRPr="00ED0888" w:rsidRDefault="00ED0888" w:rsidP="00ED0888">
            <w:pPr>
              <w:widowControl w:val="0"/>
              <w:tabs>
                <w:tab w:val="left" w:leader="dot" w:pos="3401"/>
                <w:tab w:val="left" w:leader="dot" w:pos="3473"/>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 xml:space="preserve">- Dépenses en capital </w:t>
            </w:r>
            <w:r w:rsidRPr="00ED0888">
              <w:rPr>
                <w:rFonts w:cs="Arial"/>
                <w:snapToGrid w:val="0"/>
                <w:color w:val="auto"/>
                <w:sz w:val="22"/>
                <w:szCs w:val="22"/>
                <w:lang w:val="fr-FR" w:eastAsia="en-US"/>
              </w:rPr>
              <w:tab/>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euros</w:t>
            </w: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r w:rsidRPr="00ED0888">
              <w:rPr>
                <w:rFonts w:eastAsia="Calibri" w:cs="Arial"/>
                <w:color w:val="auto"/>
                <w:sz w:val="22"/>
                <w:szCs w:val="22"/>
                <w:lang w:val="fr-FR" w:eastAsia="en-US"/>
              </w:rPr>
              <w:t>2 249 641 725</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p>
        </w:tc>
      </w:tr>
      <w:tr w:rsidR="00ED0888" w:rsidRPr="00ED0888" w:rsidTr="00ED0888">
        <w:trPr>
          <w:trHeight w:val="537"/>
        </w:trPr>
        <w:tc>
          <w:tcPr>
            <w:tcW w:w="3900" w:type="dxa"/>
          </w:tcPr>
          <w:p w:rsidR="00ED0888" w:rsidRPr="00ED0888" w:rsidRDefault="00ED0888" w:rsidP="00ED0888">
            <w:pPr>
              <w:widowControl w:val="0"/>
              <w:tabs>
                <w:tab w:val="left" w:leader="dot" w:pos="3401"/>
                <w:tab w:val="left" w:pos="10080"/>
                <w:tab w:val="left" w:pos="10800"/>
              </w:tabs>
              <w:rPr>
                <w:rFonts w:cs="Arial"/>
                <w:snapToGrid w:val="0"/>
                <w:color w:val="auto"/>
                <w:sz w:val="22"/>
                <w:szCs w:val="22"/>
                <w:lang w:val="fr-FR" w:eastAsia="en-US"/>
              </w:rPr>
            </w:pPr>
            <w:r w:rsidRPr="00ED0888">
              <w:rPr>
                <w:rFonts w:cs="Arial"/>
                <w:snapToGrid w:val="0"/>
                <w:color w:val="auto"/>
                <w:sz w:val="22"/>
                <w:szCs w:val="22"/>
                <w:lang w:val="fr-FR" w:eastAsia="en-US"/>
              </w:rPr>
              <w:t>- Dépenses des opérations financières</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r w:rsidRPr="00ED0888">
              <w:rPr>
                <w:rFonts w:cs="Arial"/>
                <w:snapToGrid w:val="0"/>
                <w:color w:val="auto"/>
                <w:sz w:val="22"/>
                <w:szCs w:val="22"/>
                <w:lang w:val="fr-FR" w:eastAsia="en-US"/>
              </w:rPr>
              <w:t>euros</w:t>
            </w:r>
          </w:p>
        </w:tc>
        <w:tc>
          <w:tcPr>
            <w:tcW w:w="2064"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r w:rsidRPr="00ED0888">
              <w:rPr>
                <w:rFonts w:eastAsia="Calibri" w:cs="Arial"/>
                <w:color w:val="auto"/>
                <w:sz w:val="22"/>
                <w:szCs w:val="22"/>
                <w:lang w:val="fr-FR" w:eastAsia="en-US"/>
              </w:rPr>
              <w:t>2 054 204 800</w:t>
            </w:r>
          </w:p>
        </w:tc>
        <w:tc>
          <w:tcPr>
            <w:tcW w:w="764" w:type="dxa"/>
          </w:tcPr>
          <w:p w:rsidR="00ED0888" w:rsidRPr="00ED0888" w:rsidRDefault="00ED0888" w:rsidP="00ED0888">
            <w:pPr>
              <w:widowControl w:val="0"/>
              <w:tabs>
                <w:tab w:val="left" w:pos="10080"/>
                <w:tab w:val="left" w:pos="10800"/>
              </w:tabs>
              <w:jc w:val="both"/>
              <w:rPr>
                <w:rFonts w:cs="Arial"/>
                <w:snapToGrid w:val="0"/>
                <w:color w:val="auto"/>
                <w:sz w:val="22"/>
                <w:szCs w:val="22"/>
                <w:lang w:val="fr-FR" w:eastAsia="en-US"/>
              </w:rPr>
            </w:pPr>
          </w:p>
        </w:tc>
        <w:tc>
          <w:tcPr>
            <w:tcW w:w="2140" w:type="dxa"/>
          </w:tcPr>
          <w:p w:rsidR="00ED0888" w:rsidRPr="00ED0888" w:rsidRDefault="00ED0888" w:rsidP="00ED0888">
            <w:pPr>
              <w:widowControl w:val="0"/>
              <w:tabs>
                <w:tab w:val="left" w:pos="10080"/>
                <w:tab w:val="left" w:pos="10800"/>
              </w:tabs>
              <w:jc w:val="right"/>
              <w:rPr>
                <w:rFonts w:cs="Arial"/>
                <w:snapToGrid w:val="0"/>
                <w:color w:val="auto"/>
                <w:sz w:val="22"/>
                <w:szCs w:val="22"/>
                <w:lang w:val="fr-FR" w:eastAsia="en-US"/>
              </w:rPr>
            </w:pPr>
          </w:p>
        </w:tc>
      </w:tr>
    </w:tbl>
    <w:p w:rsidR="001E1647" w:rsidRDefault="001E1647" w:rsidP="001E1647">
      <w:pPr>
        <w:rPr>
          <w:rFonts w:cs="Arial"/>
          <w:sz w:val="22"/>
          <w:szCs w:val="22"/>
          <w:lang w:val="fr-FR"/>
        </w:rPr>
      </w:pPr>
    </w:p>
    <w:p w:rsidR="00D40666" w:rsidRDefault="00FA59ED" w:rsidP="00FA59ED">
      <w:pPr>
        <w:jc w:val="both"/>
        <w:rPr>
          <w:rFonts w:cs="Arial"/>
          <w:b/>
          <w:snapToGrid w:val="0"/>
          <w:sz w:val="22"/>
          <w:szCs w:val="22"/>
          <w:lang w:val="fr-FR"/>
        </w:rPr>
      </w:pPr>
      <w:r w:rsidRPr="00FA59ED">
        <w:rPr>
          <w:rFonts w:cs="Arial"/>
          <w:sz w:val="22"/>
          <w:szCs w:val="22"/>
          <w:u w:val="single"/>
          <w:lang w:val="fr-FR"/>
        </w:rPr>
        <w:t>L’article 5</w:t>
      </w:r>
      <w:r w:rsidRPr="00FA59ED">
        <w:rPr>
          <w:rFonts w:cs="Arial"/>
          <w:sz w:val="22"/>
          <w:szCs w:val="22"/>
          <w:lang w:val="fr-FR"/>
        </w:rPr>
        <w:t xml:space="preserve"> prévoit que l</w:t>
      </w:r>
      <w:r w:rsidRPr="00FA59ED">
        <w:rPr>
          <w:rFonts w:eastAsia="Calibri" w:cs="Arial"/>
          <w:color w:val="auto"/>
          <w:sz w:val="22"/>
          <w:szCs w:val="22"/>
          <w:lang w:val="fr-LU" w:eastAsia="en-US"/>
        </w:rPr>
        <w:t xml:space="preserve">es </w:t>
      </w:r>
      <w:r w:rsidRPr="00FA59ED">
        <w:rPr>
          <w:rFonts w:eastAsia="Calibri" w:cs="Arial"/>
          <w:color w:val="auto"/>
          <w:sz w:val="22"/>
          <w:szCs w:val="22"/>
          <w:u w:val="single"/>
          <w:lang w:val="fr-LU" w:eastAsia="en-US"/>
        </w:rPr>
        <w:t>décisions anticipées</w:t>
      </w:r>
      <w:r w:rsidRPr="00FA59ED">
        <w:rPr>
          <w:rFonts w:eastAsia="Calibri" w:cs="Arial"/>
          <w:color w:val="auto"/>
          <w:sz w:val="22"/>
          <w:szCs w:val="22"/>
          <w:lang w:val="fr-LU" w:eastAsia="en-US"/>
        </w:rPr>
        <w:t xml:space="preserve"> émises avant le 1</w:t>
      </w:r>
      <w:r w:rsidRPr="00FA59ED">
        <w:rPr>
          <w:rFonts w:eastAsia="Calibri" w:cs="Arial"/>
          <w:color w:val="auto"/>
          <w:sz w:val="22"/>
          <w:szCs w:val="22"/>
          <w:vertAlign w:val="superscript"/>
          <w:lang w:val="fr-LU" w:eastAsia="en-US"/>
        </w:rPr>
        <w:t>er</w:t>
      </w:r>
      <w:r w:rsidRPr="00FA59ED">
        <w:rPr>
          <w:rFonts w:eastAsia="Calibri" w:cs="Arial"/>
          <w:color w:val="auto"/>
          <w:sz w:val="22"/>
          <w:szCs w:val="22"/>
          <w:lang w:val="fr-LU" w:eastAsia="en-US"/>
        </w:rPr>
        <w:t xml:space="preserve"> janvier 2015 cessent de plein droit d’avoir effet à la fin de l’année d’imposition 2019 et que le contribuable concerné peut introduire une nouvelle demande de décision anticipée.</w:t>
      </w:r>
    </w:p>
    <w:p w:rsidR="00FA59ED" w:rsidRPr="00FA59ED" w:rsidRDefault="00FA59ED" w:rsidP="00FA59ED">
      <w:pPr>
        <w:jc w:val="both"/>
        <w:rPr>
          <w:rFonts w:cs="Arial"/>
          <w:b/>
          <w:snapToGrid w:val="0"/>
          <w:sz w:val="22"/>
          <w:szCs w:val="22"/>
          <w:lang w:val="fr-FR"/>
        </w:rPr>
      </w:pPr>
    </w:p>
    <w:p w:rsidR="001A2685" w:rsidRPr="00795E51" w:rsidRDefault="00795E51" w:rsidP="00795E51">
      <w:pPr>
        <w:autoSpaceDE w:val="0"/>
        <w:autoSpaceDN w:val="0"/>
        <w:adjustRightInd w:val="0"/>
        <w:jc w:val="both"/>
        <w:rPr>
          <w:rFonts w:cs="Arial"/>
          <w:color w:val="auto"/>
          <w:sz w:val="22"/>
          <w:szCs w:val="22"/>
          <w:lang w:val="fr-LU"/>
        </w:rPr>
      </w:pPr>
      <w:r w:rsidRPr="00795E51">
        <w:rPr>
          <w:rFonts w:cs="Arial"/>
          <w:color w:val="auto"/>
          <w:sz w:val="22"/>
          <w:szCs w:val="22"/>
          <w:u w:val="single"/>
          <w:lang w:val="fr-LU"/>
        </w:rPr>
        <w:t>L’article 25</w:t>
      </w:r>
      <w:r w:rsidRPr="00795E51">
        <w:rPr>
          <w:rFonts w:cs="Arial"/>
          <w:color w:val="auto"/>
          <w:sz w:val="22"/>
          <w:szCs w:val="22"/>
          <w:lang w:val="fr-LU"/>
        </w:rPr>
        <w:t xml:space="preserve"> a pour objectif de permettre </w:t>
      </w:r>
      <w:r>
        <w:rPr>
          <w:rFonts w:cs="Arial"/>
          <w:color w:val="auto"/>
          <w:sz w:val="22"/>
          <w:szCs w:val="22"/>
          <w:lang w:val="fr-LU"/>
        </w:rPr>
        <w:t>aux</w:t>
      </w:r>
      <w:r w:rsidRPr="00795E51">
        <w:rPr>
          <w:rFonts w:cs="Arial"/>
          <w:color w:val="auto"/>
          <w:sz w:val="22"/>
          <w:szCs w:val="22"/>
          <w:lang w:val="fr-LU"/>
        </w:rPr>
        <w:t xml:space="preserve"> communes dispensant un </w:t>
      </w:r>
      <w:r w:rsidRPr="00795E51">
        <w:rPr>
          <w:rFonts w:cs="Arial"/>
          <w:color w:val="auto"/>
          <w:sz w:val="22"/>
          <w:szCs w:val="22"/>
          <w:u w:val="single"/>
          <w:lang w:val="fr-LU"/>
        </w:rPr>
        <w:t>enseignement musical</w:t>
      </w:r>
      <w:r w:rsidRPr="00795E51">
        <w:rPr>
          <w:rFonts w:cs="Arial"/>
          <w:color w:val="auto"/>
          <w:sz w:val="22"/>
          <w:szCs w:val="22"/>
          <w:lang w:val="fr-LU"/>
        </w:rPr>
        <w:t xml:space="preserve"> </w:t>
      </w:r>
      <w:r>
        <w:rPr>
          <w:rFonts w:cs="Arial"/>
          <w:color w:val="auto"/>
          <w:sz w:val="22"/>
          <w:szCs w:val="22"/>
          <w:lang w:val="fr-LU"/>
        </w:rPr>
        <w:t>d’</w:t>
      </w:r>
      <w:r w:rsidRPr="00795E51">
        <w:rPr>
          <w:rFonts w:cs="Arial"/>
          <w:color w:val="auto"/>
          <w:sz w:val="22"/>
          <w:szCs w:val="22"/>
          <w:lang w:val="fr-LU"/>
        </w:rPr>
        <w:t>offrir un enseignement s’adressant aux adultes. Les modalités et les programmes d’études seront fixés par règlement grand-ducal. Le mode de financement tel que prévu par le règlement grand-ducal du 14 avril 1999, et appliqué après l’entrée en vigueur de la loi de 1998 et donc, dès le début du financement de l’enseignement musical remplace le mode de financement prévu par la loi de 1998, lequel n’a jamais été appliqué.</w:t>
      </w:r>
    </w:p>
    <w:p w:rsidR="001E1647" w:rsidRPr="00596143" w:rsidRDefault="001E1647" w:rsidP="00597DA2">
      <w:pPr>
        <w:jc w:val="both"/>
        <w:rPr>
          <w:rFonts w:cs="Arial"/>
          <w:strike/>
          <w:color w:val="auto"/>
          <w:sz w:val="22"/>
          <w:szCs w:val="22"/>
          <w:lang w:val="fr-FR"/>
        </w:rPr>
      </w:pPr>
    </w:p>
    <w:p w:rsidR="00AA52BD" w:rsidRPr="00DD3DFF" w:rsidRDefault="00596143" w:rsidP="00AA52BD">
      <w:pPr>
        <w:pStyle w:val="Sansinterligne"/>
        <w:jc w:val="both"/>
        <w:rPr>
          <w:rFonts w:ascii="Arial" w:hAnsi="Arial" w:cs="Arial"/>
          <w:sz w:val="22"/>
          <w:szCs w:val="22"/>
          <w:lang w:val="fr-LU"/>
        </w:rPr>
      </w:pPr>
      <w:r w:rsidRPr="00597DA2">
        <w:rPr>
          <w:rFonts w:ascii="Arial" w:hAnsi="Arial" w:cs="Arial"/>
          <w:sz w:val="22"/>
          <w:szCs w:val="22"/>
          <w:u w:val="single"/>
          <w:lang w:val="fr-LU"/>
        </w:rPr>
        <w:t xml:space="preserve">L’article </w:t>
      </w:r>
      <w:r w:rsidR="00AA52BD" w:rsidRPr="00597DA2">
        <w:rPr>
          <w:rFonts w:ascii="Arial" w:hAnsi="Arial" w:cs="Arial"/>
          <w:sz w:val="22"/>
          <w:szCs w:val="22"/>
          <w:u w:val="single"/>
          <w:lang w:val="fr-LU"/>
        </w:rPr>
        <w:t>33</w:t>
      </w:r>
      <w:r w:rsidR="00AA52BD">
        <w:rPr>
          <w:rFonts w:ascii="Arial" w:hAnsi="Arial" w:cs="Arial"/>
          <w:sz w:val="22"/>
          <w:szCs w:val="22"/>
          <w:lang w:val="fr-LU"/>
        </w:rPr>
        <w:t xml:space="preserve"> </w:t>
      </w:r>
      <w:r w:rsidR="00AA52BD" w:rsidRPr="00DD3DFF">
        <w:rPr>
          <w:rFonts w:ascii="Arial" w:hAnsi="Arial" w:cs="Arial"/>
          <w:sz w:val="22"/>
          <w:szCs w:val="22"/>
          <w:lang w:val="fr-LU"/>
        </w:rPr>
        <w:t>précise que</w:t>
      </w:r>
      <w:r w:rsidR="00AA52BD">
        <w:rPr>
          <w:rFonts w:ascii="Arial" w:hAnsi="Arial" w:cs="Arial"/>
          <w:sz w:val="22"/>
          <w:szCs w:val="22"/>
          <w:lang w:val="fr-LU"/>
        </w:rPr>
        <w:t>,</w:t>
      </w:r>
      <w:r w:rsidR="00AA52BD" w:rsidRPr="00DD3DFF">
        <w:rPr>
          <w:rFonts w:ascii="Arial" w:hAnsi="Arial" w:cs="Arial"/>
          <w:sz w:val="22"/>
          <w:szCs w:val="22"/>
          <w:lang w:val="fr-LU"/>
        </w:rPr>
        <w:t xml:space="preserve"> </w:t>
      </w:r>
      <w:r w:rsidR="00AA52BD">
        <w:rPr>
          <w:rFonts w:ascii="Arial" w:hAnsi="Arial" w:cs="Arial"/>
          <w:sz w:val="22"/>
          <w:szCs w:val="22"/>
          <w:lang w:val="fr-LU"/>
        </w:rPr>
        <w:t>d</w:t>
      </w:r>
      <w:r w:rsidR="00AA52BD" w:rsidRPr="00DD3DFF">
        <w:rPr>
          <w:rFonts w:ascii="Arial" w:hAnsi="Arial" w:cs="Arial"/>
          <w:sz w:val="22"/>
          <w:szCs w:val="22"/>
          <w:lang w:val="fr-LU"/>
        </w:rPr>
        <w:t>ésormais</w:t>
      </w:r>
      <w:r w:rsidR="00AA52BD">
        <w:rPr>
          <w:rFonts w:ascii="Arial" w:hAnsi="Arial" w:cs="Arial"/>
          <w:sz w:val="22"/>
          <w:szCs w:val="22"/>
          <w:lang w:val="fr-LU"/>
        </w:rPr>
        <w:t>,</w:t>
      </w:r>
      <w:r w:rsidR="00AA52BD" w:rsidRPr="00DD3DFF">
        <w:rPr>
          <w:rFonts w:ascii="Arial" w:hAnsi="Arial" w:cs="Arial"/>
          <w:sz w:val="22"/>
          <w:szCs w:val="22"/>
          <w:lang w:val="fr-LU"/>
        </w:rPr>
        <w:t xml:space="preserve"> le Corps grand-ducal d’incendie et de secours aura</w:t>
      </w:r>
      <w:r w:rsidR="00AA52BD">
        <w:rPr>
          <w:rFonts w:ascii="Arial" w:hAnsi="Arial" w:cs="Arial"/>
          <w:sz w:val="22"/>
          <w:szCs w:val="22"/>
          <w:lang w:val="fr-LU"/>
        </w:rPr>
        <w:t>,</w:t>
      </w:r>
      <w:r w:rsidR="00AA52BD" w:rsidRPr="00DD3DFF">
        <w:rPr>
          <w:rFonts w:ascii="Arial" w:hAnsi="Arial" w:cs="Arial"/>
          <w:sz w:val="22"/>
          <w:szCs w:val="22"/>
          <w:lang w:val="fr-LU"/>
        </w:rPr>
        <w:t xml:space="preserve"> parmi ses missions, celle de planifier, de mettre en œuvre et d’organiser le </w:t>
      </w:r>
      <w:r w:rsidR="00AA52BD" w:rsidRPr="00597DA2">
        <w:rPr>
          <w:rFonts w:ascii="Arial" w:hAnsi="Arial" w:cs="Arial"/>
          <w:sz w:val="22"/>
          <w:szCs w:val="22"/>
          <w:u w:val="single"/>
          <w:lang w:val="fr-LU"/>
        </w:rPr>
        <w:t>transport en ambulance</w:t>
      </w:r>
      <w:r w:rsidR="00AA52BD" w:rsidRPr="00DD3DFF">
        <w:rPr>
          <w:rFonts w:ascii="Arial" w:hAnsi="Arial" w:cs="Arial"/>
          <w:sz w:val="22"/>
          <w:szCs w:val="22"/>
          <w:lang w:val="fr-LU"/>
        </w:rPr>
        <w:t xml:space="preserve">, dépêché par le central des secours d’urgence (CSU-112), défini à l’article 23 de la loi du 27 mars 2018 portant organisation de la sécurité civile, vers un service d’urgence </w:t>
      </w:r>
      <w:r w:rsidR="00AA52BD" w:rsidRPr="00DD3DFF">
        <w:rPr>
          <w:rFonts w:ascii="Arial" w:hAnsi="Arial" w:cs="Arial"/>
          <w:sz w:val="22"/>
          <w:szCs w:val="22"/>
          <w:lang w:val="fr-LU"/>
        </w:rPr>
        <w:lastRenderedPageBreak/>
        <w:t xml:space="preserve">d’un centre hospitalier participant au service de garde, tel que visé à l’article 4, paragraphe 6 de la loi du 8 mars 2018 relative aux établissements hospitaliers et à la planification hospitalière. </w:t>
      </w:r>
    </w:p>
    <w:p w:rsidR="00AA52BD" w:rsidRPr="00DD3DFF" w:rsidRDefault="00AA52BD" w:rsidP="00AA52BD">
      <w:pPr>
        <w:pStyle w:val="Sansinterligne"/>
        <w:jc w:val="both"/>
        <w:rPr>
          <w:rFonts w:ascii="Arial" w:hAnsi="Arial" w:cs="Arial"/>
          <w:sz w:val="22"/>
          <w:szCs w:val="22"/>
          <w:lang w:val="fr-LU"/>
        </w:rPr>
      </w:pPr>
    </w:p>
    <w:p w:rsidR="00AA52BD" w:rsidRPr="00DD3DFF" w:rsidRDefault="00AA52BD" w:rsidP="00AA52BD">
      <w:pPr>
        <w:pStyle w:val="Sansinterligne"/>
        <w:jc w:val="both"/>
        <w:rPr>
          <w:rFonts w:ascii="Arial" w:hAnsi="Arial" w:cs="Arial"/>
          <w:sz w:val="22"/>
          <w:szCs w:val="22"/>
          <w:lang w:val="fr-LU"/>
        </w:rPr>
      </w:pPr>
      <w:r w:rsidRPr="00DD3DFF">
        <w:rPr>
          <w:rFonts w:ascii="Arial" w:hAnsi="Arial" w:cs="Arial"/>
          <w:sz w:val="22"/>
          <w:szCs w:val="22"/>
          <w:lang w:val="fr-LU"/>
        </w:rPr>
        <w:t xml:space="preserve">Le </w:t>
      </w:r>
      <w:r w:rsidRPr="00596143">
        <w:rPr>
          <w:rFonts w:ascii="Arial" w:hAnsi="Arial" w:cs="Arial"/>
          <w:sz w:val="22"/>
          <w:szCs w:val="22"/>
          <w:lang w:val="fr-LU"/>
        </w:rPr>
        <w:t>point 2°</w:t>
      </w:r>
      <w:r w:rsidRPr="00DD3DFF">
        <w:rPr>
          <w:rFonts w:ascii="Arial" w:hAnsi="Arial" w:cs="Arial"/>
          <w:sz w:val="22"/>
          <w:szCs w:val="22"/>
          <w:lang w:val="fr-LU"/>
        </w:rPr>
        <w:t xml:space="preserve"> </w:t>
      </w:r>
      <w:r w:rsidR="00596143">
        <w:rPr>
          <w:rFonts w:ascii="Arial" w:hAnsi="Arial" w:cs="Arial"/>
          <w:sz w:val="22"/>
          <w:szCs w:val="22"/>
          <w:lang w:val="fr-LU"/>
        </w:rPr>
        <w:t xml:space="preserve">de cet article </w:t>
      </w:r>
      <w:r w:rsidRPr="00DD3DFF">
        <w:rPr>
          <w:rFonts w:ascii="Arial" w:hAnsi="Arial" w:cs="Arial"/>
          <w:sz w:val="22"/>
          <w:szCs w:val="22"/>
          <w:lang w:val="fr-LU"/>
        </w:rPr>
        <w:t xml:space="preserve">concerne les dépenses de transport en ambulance qui incombent à l’organisme de sécurité sociale dont la personne prise en charge relève. </w:t>
      </w:r>
    </w:p>
    <w:p w:rsidR="0019313E" w:rsidRDefault="0019313E" w:rsidP="0019313E">
      <w:pPr>
        <w:jc w:val="both"/>
        <w:rPr>
          <w:rFonts w:cs="Arial"/>
          <w:color w:val="7030A0"/>
          <w:sz w:val="22"/>
          <w:szCs w:val="22"/>
          <w:lang w:val="fr-FR"/>
        </w:rPr>
      </w:pPr>
    </w:p>
    <w:p w:rsidR="009F74BC" w:rsidRPr="008768EF" w:rsidRDefault="00596143" w:rsidP="00FB544D">
      <w:pPr>
        <w:spacing w:line="252" w:lineRule="auto"/>
        <w:jc w:val="both"/>
        <w:rPr>
          <w:rFonts w:eastAsia="Calibri" w:cs="Arial"/>
          <w:sz w:val="22"/>
          <w:szCs w:val="22"/>
          <w:lang w:val="fr-FR"/>
        </w:rPr>
      </w:pPr>
      <w:r w:rsidRPr="00597DA2">
        <w:rPr>
          <w:rFonts w:eastAsia="Calibri" w:cs="Arial"/>
          <w:sz w:val="22"/>
          <w:szCs w:val="22"/>
          <w:u w:val="single"/>
          <w:lang w:val="fr-FR"/>
        </w:rPr>
        <w:t>L’article 40</w:t>
      </w:r>
      <w:r>
        <w:rPr>
          <w:rFonts w:eastAsia="Calibri" w:cs="Arial"/>
          <w:sz w:val="22"/>
          <w:szCs w:val="22"/>
          <w:lang w:val="fr-FR"/>
        </w:rPr>
        <w:t xml:space="preserve"> </w:t>
      </w:r>
      <w:r w:rsidR="009F74BC" w:rsidRPr="008768EF">
        <w:rPr>
          <w:rFonts w:eastAsia="Calibri" w:cs="Arial"/>
          <w:sz w:val="22"/>
          <w:szCs w:val="22"/>
          <w:lang w:val="fr-FR"/>
        </w:rPr>
        <w:t>transforme le « fonds de crise » existant en « </w:t>
      </w:r>
      <w:r w:rsidR="009F74BC" w:rsidRPr="00597DA2">
        <w:rPr>
          <w:rFonts w:eastAsia="Calibri" w:cs="Arial"/>
          <w:sz w:val="22"/>
          <w:szCs w:val="22"/>
          <w:u w:val="single"/>
          <w:lang w:val="fr-FR"/>
        </w:rPr>
        <w:t>fonds de rééquilibrage budgétaire</w:t>
      </w:r>
      <w:r w:rsidR="009F74BC" w:rsidRPr="008768EF">
        <w:rPr>
          <w:rFonts w:eastAsia="Calibri" w:cs="Arial"/>
          <w:sz w:val="22"/>
          <w:szCs w:val="22"/>
          <w:lang w:val="fr-FR"/>
        </w:rPr>
        <w:t xml:space="preserve"> ». </w:t>
      </w:r>
    </w:p>
    <w:p w:rsidR="003031A5" w:rsidRPr="008768EF" w:rsidRDefault="003031A5" w:rsidP="003031A5">
      <w:pPr>
        <w:spacing w:line="252" w:lineRule="auto"/>
        <w:ind w:left="284" w:firstLine="425"/>
        <w:jc w:val="both"/>
        <w:rPr>
          <w:rFonts w:eastAsia="Calibri" w:cs="Arial"/>
          <w:sz w:val="22"/>
          <w:szCs w:val="22"/>
          <w:lang w:val="fr-FR"/>
        </w:rPr>
      </w:pPr>
    </w:p>
    <w:p w:rsidR="00FB544D" w:rsidRPr="00B429B1" w:rsidRDefault="009F74BC" w:rsidP="00597DA2">
      <w:pPr>
        <w:spacing w:line="252" w:lineRule="auto"/>
        <w:jc w:val="both"/>
        <w:rPr>
          <w:rFonts w:cs="Arial"/>
          <w:color w:val="auto"/>
          <w:sz w:val="22"/>
          <w:szCs w:val="22"/>
          <w:lang w:val="fr-FR"/>
        </w:rPr>
      </w:pPr>
      <w:r w:rsidRPr="008768EF">
        <w:rPr>
          <w:rFonts w:eastAsia="Calibri" w:cs="Arial"/>
          <w:sz w:val="22"/>
          <w:szCs w:val="22"/>
          <w:lang w:val="fr-FR"/>
        </w:rPr>
        <w:t xml:space="preserve">Le fonds de rééquilibrage budgétaire aura pour but exclusif de constituer une réserve budgétaire à laquelle il peut être recouru en cas de chocs économiques ou budgétaires. Le fonds sera alimenté par des dotations budgétaires qui seront adaptées en fonction d’éventuelles plus-values budgétaires qui pourront se réaliser au cours d’un exercice budgétaire. </w:t>
      </w:r>
      <w:r w:rsidR="00597DA2">
        <w:rPr>
          <w:rFonts w:eastAsia="Calibri" w:cs="Arial"/>
          <w:sz w:val="22"/>
          <w:szCs w:val="22"/>
          <w:lang w:val="fr-FR"/>
        </w:rPr>
        <w:t>L</w:t>
      </w:r>
      <w:r w:rsidRPr="008768EF">
        <w:rPr>
          <w:rFonts w:eastAsia="Calibri" w:cs="Arial"/>
          <w:sz w:val="22"/>
          <w:szCs w:val="22"/>
          <w:lang w:val="fr-FR"/>
        </w:rPr>
        <w:t xml:space="preserve">es sommes constituant le fonds de rééquilibrage ne pourront être utilisées qu’aux seules fins prévues par l’objet du fonds. </w:t>
      </w:r>
    </w:p>
    <w:p w:rsidR="008A6759" w:rsidRDefault="008A6759" w:rsidP="005C1701">
      <w:pPr>
        <w:jc w:val="both"/>
        <w:rPr>
          <w:rFonts w:cs="Arial"/>
          <w:bCs/>
          <w:snapToGrid w:val="0"/>
          <w:color w:val="0070C0"/>
          <w:sz w:val="22"/>
          <w:szCs w:val="22"/>
          <w:lang w:val="fr-FR"/>
        </w:rPr>
      </w:pPr>
    </w:p>
    <w:p w:rsidR="00FB544D" w:rsidRPr="00597DA2" w:rsidRDefault="00597DA2" w:rsidP="00FB544D">
      <w:pPr>
        <w:jc w:val="both"/>
        <w:rPr>
          <w:rFonts w:cs="Arial"/>
          <w:color w:val="auto"/>
          <w:sz w:val="22"/>
          <w:szCs w:val="22"/>
          <w:lang w:val="fr-FR"/>
        </w:rPr>
      </w:pPr>
      <w:r w:rsidRPr="00597DA2">
        <w:rPr>
          <w:rFonts w:cs="Arial"/>
          <w:color w:val="auto"/>
          <w:sz w:val="22"/>
          <w:szCs w:val="22"/>
          <w:u w:val="single"/>
          <w:lang w:val="fr-FR"/>
        </w:rPr>
        <w:t>L’article 41</w:t>
      </w:r>
      <w:r w:rsidRPr="00597DA2">
        <w:rPr>
          <w:rFonts w:cs="Arial"/>
          <w:color w:val="auto"/>
          <w:sz w:val="22"/>
          <w:szCs w:val="22"/>
          <w:lang w:val="fr-FR"/>
        </w:rPr>
        <w:t xml:space="preserve"> </w:t>
      </w:r>
      <w:r>
        <w:rPr>
          <w:rFonts w:cs="Arial"/>
          <w:color w:val="auto"/>
          <w:sz w:val="22"/>
          <w:szCs w:val="22"/>
          <w:lang w:val="fr-FR"/>
        </w:rPr>
        <w:t xml:space="preserve">prévoit </w:t>
      </w:r>
      <w:r w:rsidRPr="00FB544D">
        <w:rPr>
          <w:rFonts w:cs="Arial"/>
          <w:color w:val="auto"/>
          <w:sz w:val="22"/>
          <w:szCs w:val="22"/>
          <w:lang w:val="fr-LU"/>
        </w:rPr>
        <w:t xml:space="preserve">une </w:t>
      </w:r>
      <w:r w:rsidRPr="00597DA2">
        <w:rPr>
          <w:rFonts w:cs="Arial"/>
          <w:color w:val="auto"/>
          <w:sz w:val="22"/>
          <w:szCs w:val="22"/>
          <w:u w:val="single"/>
          <w:lang w:val="fr-LU"/>
        </w:rPr>
        <w:t>augmentation de l’indemnité de secrétariat des députés</w:t>
      </w:r>
      <w:r w:rsidRPr="00FB544D">
        <w:rPr>
          <w:rFonts w:cs="Arial"/>
          <w:color w:val="auto"/>
          <w:sz w:val="22"/>
          <w:szCs w:val="22"/>
          <w:lang w:val="fr-LU"/>
        </w:rPr>
        <w:t>.</w:t>
      </w:r>
      <w:r w:rsidR="00FB544D" w:rsidRPr="00FB544D">
        <w:rPr>
          <w:rFonts w:cs="Arial"/>
          <w:sz w:val="22"/>
          <w:szCs w:val="22"/>
          <w:lang w:val="fr-LU"/>
        </w:rPr>
        <w:t xml:space="preserve"> </w:t>
      </w:r>
      <w:r w:rsidRPr="006023B9">
        <w:rPr>
          <w:rFonts w:cs="Arial"/>
          <w:sz w:val="22"/>
          <w:szCs w:val="22"/>
          <w:lang w:val="fr-LU"/>
        </w:rPr>
        <w:t xml:space="preserve">Le député ne peut pas demander l’indemnisation des frais à lui accrus du fait de l’engagement de son conjoint, </w:t>
      </w:r>
      <w:r w:rsidRPr="00597DA2">
        <w:rPr>
          <w:rFonts w:cs="Arial"/>
          <w:sz w:val="22"/>
          <w:szCs w:val="22"/>
          <w:lang w:val="fr-LU"/>
        </w:rPr>
        <w:t>du partenaire avec lequel il vit dans un partenariat déclaré au Luxembourg ou à l’étranger, du partenaire avec lequel il vit en communauté de vie</w:t>
      </w:r>
      <w:r w:rsidRPr="006023B9">
        <w:rPr>
          <w:rFonts w:cs="Arial"/>
          <w:sz w:val="22"/>
          <w:szCs w:val="22"/>
          <w:lang w:val="fr-LU"/>
        </w:rPr>
        <w:t xml:space="preserve"> ou de ses parents, enfants, frères ou sœurs. </w:t>
      </w:r>
    </w:p>
    <w:p w:rsidR="00FB544D" w:rsidRPr="00FB544D" w:rsidRDefault="00FB544D" w:rsidP="00FB544D">
      <w:pPr>
        <w:rPr>
          <w:rFonts w:cs="Arial"/>
          <w:color w:val="auto"/>
          <w:sz w:val="22"/>
          <w:szCs w:val="22"/>
          <w:lang w:val="fr-LU"/>
        </w:rPr>
      </w:pPr>
    </w:p>
    <w:p w:rsidR="00FB544D" w:rsidRPr="00FB544D" w:rsidRDefault="00FB544D" w:rsidP="00FB544D">
      <w:pPr>
        <w:rPr>
          <w:rFonts w:cs="Arial"/>
          <w:color w:val="auto"/>
          <w:sz w:val="22"/>
          <w:szCs w:val="22"/>
          <w:lang w:val="fr-LU"/>
        </w:rPr>
      </w:pPr>
    </w:p>
    <w:p w:rsidR="00FF67D6" w:rsidRPr="00FF67D6" w:rsidRDefault="00FF67D6" w:rsidP="00FF67D6">
      <w:pPr>
        <w:keepNext/>
        <w:jc w:val="both"/>
        <w:rPr>
          <w:rFonts w:eastAsia="Cambria" w:cs="Arial"/>
          <w:b/>
          <w:color w:val="auto"/>
          <w:sz w:val="22"/>
          <w:szCs w:val="22"/>
          <w:lang w:val="fr-FR" w:eastAsia="de-DE"/>
        </w:rPr>
      </w:pPr>
      <w:r w:rsidRPr="00FF67D6">
        <w:rPr>
          <w:rFonts w:eastAsia="Cambria" w:cs="Arial"/>
          <w:b/>
          <w:color w:val="auto"/>
          <w:sz w:val="22"/>
          <w:szCs w:val="22"/>
          <w:lang w:val="fr-FR" w:eastAsia="de-DE"/>
        </w:rPr>
        <w:t>Projet de loi n°7</w:t>
      </w:r>
      <w:r>
        <w:rPr>
          <w:rFonts w:eastAsia="Cambria" w:cs="Arial"/>
          <w:b/>
          <w:color w:val="auto"/>
          <w:sz w:val="22"/>
          <w:szCs w:val="22"/>
          <w:lang w:val="fr-FR" w:eastAsia="de-DE"/>
        </w:rPr>
        <w:t>50</w:t>
      </w:r>
      <w:r w:rsidRPr="00FF67D6">
        <w:rPr>
          <w:rFonts w:eastAsia="Cambria" w:cs="Arial"/>
          <w:b/>
          <w:color w:val="auto"/>
          <w:sz w:val="22"/>
          <w:szCs w:val="22"/>
          <w:lang w:val="fr-FR" w:eastAsia="de-DE"/>
        </w:rPr>
        <w:t>1 relatif à la programmation financière pluriannuelle pour la période 201</w:t>
      </w:r>
      <w:r>
        <w:rPr>
          <w:rFonts w:eastAsia="Cambria" w:cs="Arial"/>
          <w:b/>
          <w:color w:val="auto"/>
          <w:sz w:val="22"/>
          <w:szCs w:val="22"/>
          <w:lang w:val="fr-FR" w:eastAsia="de-DE"/>
        </w:rPr>
        <w:t>9</w:t>
      </w:r>
      <w:r w:rsidRPr="00FF67D6">
        <w:rPr>
          <w:rFonts w:eastAsia="Cambria" w:cs="Arial"/>
          <w:b/>
          <w:color w:val="auto"/>
          <w:sz w:val="22"/>
          <w:szCs w:val="22"/>
          <w:lang w:val="fr-FR" w:eastAsia="de-DE"/>
        </w:rPr>
        <w:t>-202</w:t>
      </w:r>
      <w:r>
        <w:rPr>
          <w:rFonts w:eastAsia="Cambria" w:cs="Arial"/>
          <w:b/>
          <w:color w:val="auto"/>
          <w:sz w:val="22"/>
          <w:szCs w:val="22"/>
          <w:lang w:val="fr-FR" w:eastAsia="de-DE"/>
        </w:rPr>
        <w:t>3</w:t>
      </w:r>
    </w:p>
    <w:p w:rsidR="008A6759" w:rsidRDefault="008A6759">
      <w:pPr>
        <w:rPr>
          <w:rFonts w:cs="Arial"/>
          <w:b/>
          <w:color w:val="auto"/>
          <w:sz w:val="22"/>
          <w:szCs w:val="22"/>
          <w:u w:val="single"/>
          <w:lang w:val="fr-FR"/>
        </w:rPr>
      </w:pPr>
    </w:p>
    <w:p w:rsidR="00FF67D6" w:rsidRPr="00022C98" w:rsidRDefault="00022C98" w:rsidP="006C287A">
      <w:pPr>
        <w:autoSpaceDE w:val="0"/>
        <w:autoSpaceDN w:val="0"/>
        <w:adjustRightInd w:val="0"/>
        <w:jc w:val="both"/>
        <w:rPr>
          <w:rFonts w:cs="Arial"/>
          <w:color w:val="auto"/>
          <w:sz w:val="22"/>
          <w:szCs w:val="22"/>
          <w:lang w:val="fr-LU"/>
        </w:rPr>
      </w:pPr>
      <w:r w:rsidRPr="00022C98">
        <w:rPr>
          <w:rFonts w:cs="Arial"/>
          <w:color w:val="auto"/>
          <w:sz w:val="22"/>
          <w:szCs w:val="22"/>
          <w:lang w:val="fr-LU"/>
        </w:rPr>
        <w:t>L</w:t>
      </w:r>
      <w:r w:rsidR="00FF67D6" w:rsidRPr="00022C98">
        <w:rPr>
          <w:rFonts w:cs="Arial"/>
          <w:color w:val="auto"/>
          <w:sz w:val="22"/>
          <w:szCs w:val="22"/>
          <w:lang w:val="fr-LU"/>
        </w:rPr>
        <w:t>’article 1</w:t>
      </w:r>
      <w:r w:rsidRPr="00022C98">
        <w:rPr>
          <w:rFonts w:cs="Arial"/>
          <w:color w:val="auto"/>
          <w:sz w:val="22"/>
          <w:szCs w:val="22"/>
          <w:vertAlign w:val="superscript"/>
          <w:lang w:val="fr-LU"/>
        </w:rPr>
        <w:t>er</w:t>
      </w:r>
      <w:r w:rsidRPr="00022C98">
        <w:rPr>
          <w:rFonts w:cs="Arial"/>
          <w:color w:val="auto"/>
          <w:sz w:val="22"/>
          <w:szCs w:val="22"/>
          <w:lang w:val="fr-LU"/>
        </w:rPr>
        <w:t xml:space="preserve"> du projet de loi</w:t>
      </w:r>
      <w:r w:rsidR="00FF67D6" w:rsidRPr="00022C98">
        <w:rPr>
          <w:rFonts w:cs="Arial"/>
          <w:color w:val="auto"/>
          <w:sz w:val="14"/>
          <w:szCs w:val="14"/>
          <w:lang w:val="fr-LU"/>
        </w:rPr>
        <w:t xml:space="preserve"> </w:t>
      </w:r>
      <w:r w:rsidR="00FF67D6" w:rsidRPr="00022C98">
        <w:rPr>
          <w:rFonts w:cs="Arial"/>
          <w:color w:val="auto"/>
          <w:sz w:val="22"/>
          <w:szCs w:val="22"/>
          <w:lang w:val="fr-LU"/>
        </w:rPr>
        <w:t>a pour objet de fixer l’objectif budgétaire à moyen terme</w:t>
      </w:r>
      <w:r w:rsidRPr="00022C98">
        <w:rPr>
          <w:rFonts w:cs="Arial"/>
          <w:color w:val="auto"/>
          <w:sz w:val="22"/>
          <w:szCs w:val="22"/>
          <w:lang w:val="fr-LU"/>
        </w:rPr>
        <w:t xml:space="preserve"> </w:t>
      </w:r>
      <w:r w:rsidR="00FF67D6" w:rsidRPr="00022C98">
        <w:rPr>
          <w:rFonts w:cs="Arial"/>
          <w:color w:val="auto"/>
          <w:sz w:val="22"/>
          <w:szCs w:val="22"/>
          <w:lang w:val="fr-LU"/>
        </w:rPr>
        <w:t>(OMT) sur toute la période dont le présent projet de loi fait l’objet, en le fixant à -0,5 % du PIB pour 2019</w:t>
      </w:r>
      <w:r w:rsidRPr="00022C98">
        <w:rPr>
          <w:rFonts w:cs="Arial"/>
          <w:color w:val="auto"/>
          <w:sz w:val="22"/>
          <w:szCs w:val="22"/>
          <w:lang w:val="fr-LU"/>
        </w:rPr>
        <w:t xml:space="preserve"> </w:t>
      </w:r>
      <w:r w:rsidR="00FF67D6" w:rsidRPr="00022C98">
        <w:rPr>
          <w:rFonts w:cs="Arial"/>
          <w:color w:val="auto"/>
          <w:sz w:val="22"/>
          <w:szCs w:val="22"/>
          <w:lang w:val="fr-LU"/>
        </w:rPr>
        <w:t xml:space="preserve">et à +0,5 % du PIB pour </w:t>
      </w:r>
      <w:r w:rsidR="006C287A">
        <w:rPr>
          <w:rFonts w:cs="Arial"/>
          <w:color w:val="auto"/>
          <w:sz w:val="22"/>
          <w:szCs w:val="22"/>
          <w:lang w:val="fr-LU"/>
        </w:rPr>
        <w:t xml:space="preserve">la </w:t>
      </w:r>
      <w:r w:rsidR="00FF67D6" w:rsidRPr="00022C98">
        <w:rPr>
          <w:rFonts w:cs="Arial"/>
          <w:color w:val="auto"/>
          <w:sz w:val="22"/>
          <w:szCs w:val="22"/>
          <w:lang w:val="fr-LU"/>
        </w:rPr>
        <w:t>période 2020-2023.</w:t>
      </w:r>
    </w:p>
    <w:p w:rsidR="00022C98" w:rsidRPr="00022C98" w:rsidRDefault="00022C98" w:rsidP="00FF67D6">
      <w:pPr>
        <w:autoSpaceDE w:val="0"/>
        <w:autoSpaceDN w:val="0"/>
        <w:adjustRightInd w:val="0"/>
        <w:rPr>
          <w:rFonts w:cs="Arial"/>
          <w:b/>
          <w:bCs/>
          <w:color w:val="auto"/>
          <w:sz w:val="22"/>
          <w:szCs w:val="22"/>
          <w:lang w:val="fr-LU"/>
        </w:rPr>
      </w:pPr>
    </w:p>
    <w:p w:rsidR="00022C98" w:rsidRPr="00022C98" w:rsidRDefault="00022C98" w:rsidP="006C287A">
      <w:pPr>
        <w:tabs>
          <w:tab w:val="left" w:pos="709"/>
        </w:tabs>
        <w:spacing w:after="160" w:line="259" w:lineRule="auto"/>
        <w:jc w:val="both"/>
        <w:rPr>
          <w:rFonts w:cs="Arial"/>
          <w:color w:val="auto"/>
          <w:sz w:val="22"/>
          <w:szCs w:val="22"/>
          <w:lang w:val="fr-FR" w:eastAsia="en-US"/>
        </w:rPr>
      </w:pPr>
      <w:r w:rsidRPr="00022C98">
        <w:rPr>
          <w:rFonts w:cs="Arial"/>
          <w:color w:val="auto"/>
          <w:sz w:val="22"/>
          <w:szCs w:val="22"/>
          <w:lang w:val="fr-FR" w:eastAsia="en-US"/>
        </w:rPr>
        <w:t>Les soldes nominaux et structurels de la trajectoire d’ajustement vers l’objectif budgétaire</w:t>
      </w:r>
      <w:r w:rsidR="006C287A">
        <w:rPr>
          <w:rFonts w:cs="Arial"/>
          <w:color w:val="auto"/>
          <w:sz w:val="22"/>
          <w:szCs w:val="22"/>
          <w:lang w:val="fr-FR" w:eastAsia="en-US"/>
        </w:rPr>
        <w:t xml:space="preserve"> </w:t>
      </w:r>
      <w:r w:rsidRPr="00022C98">
        <w:rPr>
          <w:rFonts w:cs="Arial"/>
          <w:color w:val="auto"/>
          <w:sz w:val="22"/>
          <w:szCs w:val="22"/>
          <w:lang w:val="fr-FR" w:eastAsia="en-US"/>
        </w:rPr>
        <w:t xml:space="preserve">à moyen terme évoluent comme suit au titre de la période 2019 à 2023 : </w:t>
      </w:r>
    </w:p>
    <w:p w:rsidR="00022C98" w:rsidRPr="00022C98" w:rsidRDefault="00022C98" w:rsidP="00022C98">
      <w:pPr>
        <w:ind w:right="283" w:firstLine="426"/>
        <w:jc w:val="right"/>
        <w:rPr>
          <w:rFonts w:cs="Arial"/>
          <w:color w:val="auto"/>
          <w:sz w:val="22"/>
          <w:szCs w:val="22"/>
          <w:lang w:val="fr-FR" w:eastAsia="en-US"/>
        </w:rPr>
      </w:pPr>
    </w:p>
    <w:tbl>
      <w:tblPr>
        <w:tblW w:w="9032" w:type="dxa"/>
        <w:tblInd w:w="-5" w:type="dxa"/>
        <w:tblLayout w:type="fixed"/>
        <w:tblCellMar>
          <w:left w:w="70" w:type="dxa"/>
          <w:right w:w="70" w:type="dxa"/>
        </w:tblCellMar>
        <w:tblLook w:val="04A0" w:firstRow="1" w:lastRow="0" w:firstColumn="1" w:lastColumn="0" w:noHBand="0" w:noVBand="1"/>
      </w:tblPr>
      <w:tblGrid>
        <w:gridCol w:w="3655"/>
        <w:gridCol w:w="1001"/>
        <w:gridCol w:w="1002"/>
        <w:gridCol w:w="1002"/>
        <w:gridCol w:w="1002"/>
        <w:gridCol w:w="1370"/>
      </w:tblGrid>
      <w:tr w:rsidR="00022C98" w:rsidRPr="00022C98" w:rsidTr="00022C98">
        <w:trPr>
          <w:trHeight w:val="267"/>
        </w:trPr>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rsidR="00022C98" w:rsidRPr="00022C98" w:rsidRDefault="00022C98" w:rsidP="00022C98">
            <w:pPr>
              <w:ind w:right="283"/>
              <w:rPr>
                <w:rFonts w:ascii="Calibri" w:hAnsi="Calibri" w:cs="Calibri"/>
                <w:color w:val="auto"/>
                <w:sz w:val="22"/>
                <w:szCs w:val="22"/>
                <w:lang w:val="fr-LU" w:eastAsia="en-US"/>
              </w:rPr>
            </w:pPr>
            <w:r w:rsidRPr="00022C98">
              <w:rPr>
                <w:rFonts w:ascii="Calibri" w:hAnsi="Calibri" w:cs="Calibri"/>
                <w:color w:val="auto"/>
                <w:sz w:val="22"/>
                <w:szCs w:val="22"/>
                <w:lang w:val="fr-LU" w:eastAsia="en-US"/>
              </w:rPr>
              <w:t>En % du PIB</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022C98" w:rsidRPr="00022C98" w:rsidRDefault="00022C98" w:rsidP="00022C98">
            <w:pPr>
              <w:ind w:left="-496" w:right="283" w:firstLine="426"/>
              <w:jc w:val="center"/>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2019</w:t>
            </w:r>
          </w:p>
        </w:tc>
        <w:tc>
          <w:tcPr>
            <w:tcW w:w="1002" w:type="dxa"/>
            <w:tcBorders>
              <w:top w:val="single" w:sz="4" w:space="0" w:color="auto"/>
              <w:left w:val="nil"/>
              <w:bottom w:val="single" w:sz="4" w:space="0" w:color="auto"/>
              <w:right w:val="single" w:sz="4" w:space="0" w:color="auto"/>
            </w:tcBorders>
            <w:shd w:val="clear" w:color="auto" w:fill="auto"/>
            <w:vAlign w:val="center"/>
          </w:tcPr>
          <w:p w:rsidR="00022C98" w:rsidRPr="00022C98" w:rsidRDefault="00022C98" w:rsidP="00022C98">
            <w:pPr>
              <w:ind w:left="-496" w:right="283" w:firstLine="426"/>
              <w:jc w:val="center"/>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2020</w:t>
            </w:r>
          </w:p>
        </w:tc>
        <w:tc>
          <w:tcPr>
            <w:tcW w:w="1002" w:type="dxa"/>
            <w:tcBorders>
              <w:top w:val="single" w:sz="4" w:space="0" w:color="auto"/>
              <w:left w:val="nil"/>
              <w:bottom w:val="single" w:sz="4" w:space="0" w:color="auto"/>
              <w:right w:val="single" w:sz="4" w:space="0" w:color="auto"/>
            </w:tcBorders>
            <w:shd w:val="clear" w:color="auto" w:fill="auto"/>
            <w:vAlign w:val="center"/>
          </w:tcPr>
          <w:p w:rsidR="00022C98" w:rsidRPr="00022C98" w:rsidRDefault="00022C98" w:rsidP="00022C98">
            <w:pPr>
              <w:ind w:left="-496" w:right="283" w:firstLine="426"/>
              <w:jc w:val="center"/>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2021</w:t>
            </w:r>
          </w:p>
        </w:tc>
        <w:tc>
          <w:tcPr>
            <w:tcW w:w="1002" w:type="dxa"/>
            <w:tcBorders>
              <w:top w:val="single" w:sz="4" w:space="0" w:color="auto"/>
              <w:left w:val="nil"/>
              <w:bottom w:val="single" w:sz="4" w:space="0" w:color="auto"/>
              <w:right w:val="single" w:sz="4" w:space="0" w:color="auto"/>
            </w:tcBorders>
            <w:shd w:val="clear" w:color="auto" w:fill="auto"/>
            <w:vAlign w:val="center"/>
          </w:tcPr>
          <w:p w:rsidR="00022C98" w:rsidRPr="00022C98" w:rsidRDefault="00022C98" w:rsidP="00022C98">
            <w:pPr>
              <w:ind w:left="-496" w:right="283" w:firstLine="426"/>
              <w:jc w:val="center"/>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2022</w:t>
            </w:r>
          </w:p>
        </w:tc>
        <w:tc>
          <w:tcPr>
            <w:tcW w:w="1370" w:type="dxa"/>
            <w:tcBorders>
              <w:top w:val="single" w:sz="4" w:space="0" w:color="auto"/>
              <w:left w:val="nil"/>
              <w:bottom w:val="single" w:sz="4" w:space="0" w:color="auto"/>
              <w:right w:val="single" w:sz="4" w:space="0" w:color="auto"/>
            </w:tcBorders>
            <w:shd w:val="clear" w:color="auto" w:fill="auto"/>
            <w:vAlign w:val="center"/>
          </w:tcPr>
          <w:p w:rsidR="00022C98" w:rsidRPr="00022C98" w:rsidRDefault="00022C98" w:rsidP="00022C98">
            <w:pPr>
              <w:ind w:left="-496" w:right="283" w:firstLine="426"/>
              <w:jc w:val="center"/>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2023</w:t>
            </w:r>
          </w:p>
        </w:tc>
      </w:tr>
      <w:tr w:rsidR="00022C98" w:rsidRPr="00022C98" w:rsidTr="00022C98">
        <w:trPr>
          <w:trHeight w:val="238"/>
        </w:trPr>
        <w:tc>
          <w:tcPr>
            <w:tcW w:w="3655" w:type="dxa"/>
            <w:tcBorders>
              <w:top w:val="nil"/>
              <w:left w:val="single" w:sz="4" w:space="0" w:color="auto"/>
              <w:bottom w:val="nil"/>
              <w:right w:val="single" w:sz="4" w:space="0" w:color="auto"/>
            </w:tcBorders>
            <w:shd w:val="clear" w:color="auto" w:fill="auto"/>
            <w:noWrap/>
            <w:vAlign w:val="bottom"/>
          </w:tcPr>
          <w:p w:rsidR="00022C98" w:rsidRPr="00022C98" w:rsidRDefault="00022C98" w:rsidP="00022C98">
            <w:pPr>
              <w:tabs>
                <w:tab w:val="left" w:leader="dot" w:pos="3258"/>
              </w:tabs>
              <w:ind w:right="283"/>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Administration centrale</w:t>
            </w:r>
            <w:r w:rsidRPr="00022C98">
              <w:rPr>
                <w:rFonts w:ascii="Calibri" w:hAnsi="Calibri" w:cs="Calibri"/>
                <w:color w:val="auto"/>
                <w:sz w:val="22"/>
                <w:szCs w:val="22"/>
                <w:lang w:val="fr-FR" w:eastAsia="en-US"/>
              </w:rPr>
              <w:tab/>
            </w:r>
          </w:p>
        </w:tc>
        <w:tc>
          <w:tcPr>
            <w:tcW w:w="1001" w:type="dxa"/>
            <w:tcBorders>
              <w:top w:val="nil"/>
              <w:left w:val="nil"/>
              <w:bottom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-0,1%</w:t>
            </w:r>
          </w:p>
        </w:tc>
        <w:tc>
          <w:tcPr>
            <w:tcW w:w="1002" w:type="dxa"/>
            <w:tcBorders>
              <w:top w:val="nil"/>
              <w:left w:val="nil"/>
              <w:bottom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-1,0%</w:t>
            </w:r>
          </w:p>
        </w:tc>
        <w:tc>
          <w:tcPr>
            <w:tcW w:w="1002" w:type="dxa"/>
            <w:tcBorders>
              <w:top w:val="nil"/>
              <w:left w:val="nil"/>
              <w:bottom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-0,6%</w:t>
            </w:r>
          </w:p>
        </w:tc>
        <w:tc>
          <w:tcPr>
            <w:tcW w:w="1002" w:type="dxa"/>
            <w:tcBorders>
              <w:top w:val="nil"/>
              <w:left w:val="nil"/>
              <w:bottom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-0,1%</w:t>
            </w:r>
          </w:p>
        </w:tc>
        <w:tc>
          <w:tcPr>
            <w:tcW w:w="1370" w:type="dxa"/>
            <w:tcBorders>
              <w:top w:val="nil"/>
              <w:left w:val="nil"/>
              <w:bottom w:val="nil"/>
              <w:right w:val="single" w:sz="4" w:space="0" w:color="auto"/>
            </w:tcBorders>
            <w:shd w:val="clear" w:color="auto" w:fill="auto"/>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+0,2%</w:t>
            </w:r>
          </w:p>
        </w:tc>
      </w:tr>
      <w:tr w:rsidR="00022C98" w:rsidRPr="00022C98" w:rsidTr="00022C98">
        <w:trPr>
          <w:trHeight w:val="238"/>
        </w:trPr>
        <w:tc>
          <w:tcPr>
            <w:tcW w:w="3655" w:type="dxa"/>
            <w:tcBorders>
              <w:top w:val="nil"/>
              <w:left w:val="single" w:sz="4" w:space="0" w:color="auto"/>
              <w:right w:val="single" w:sz="4" w:space="0" w:color="auto"/>
            </w:tcBorders>
            <w:shd w:val="clear" w:color="auto" w:fill="auto"/>
            <w:noWrap/>
            <w:vAlign w:val="bottom"/>
          </w:tcPr>
          <w:p w:rsidR="00022C98" w:rsidRPr="00022C98" w:rsidRDefault="00022C98" w:rsidP="00022C98">
            <w:pPr>
              <w:tabs>
                <w:tab w:val="left" w:leader="dot" w:pos="3258"/>
              </w:tabs>
              <w:ind w:right="283"/>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Administrations locales</w:t>
            </w:r>
            <w:r w:rsidRPr="00022C98">
              <w:rPr>
                <w:rFonts w:ascii="Calibri" w:hAnsi="Calibri" w:cs="Calibri"/>
                <w:color w:val="auto"/>
                <w:sz w:val="22"/>
                <w:szCs w:val="22"/>
                <w:lang w:val="fr-FR" w:eastAsia="en-US"/>
              </w:rPr>
              <w:tab/>
            </w:r>
          </w:p>
        </w:tc>
        <w:tc>
          <w:tcPr>
            <w:tcW w:w="1001"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+0,5%</w:t>
            </w:r>
          </w:p>
        </w:tc>
        <w:tc>
          <w:tcPr>
            <w:tcW w:w="1002"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+0,5%</w:t>
            </w:r>
          </w:p>
        </w:tc>
        <w:tc>
          <w:tcPr>
            <w:tcW w:w="1002"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+0,5%</w:t>
            </w:r>
          </w:p>
        </w:tc>
        <w:tc>
          <w:tcPr>
            <w:tcW w:w="1002"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+0,5%</w:t>
            </w:r>
          </w:p>
        </w:tc>
        <w:tc>
          <w:tcPr>
            <w:tcW w:w="1370" w:type="dxa"/>
            <w:tcBorders>
              <w:top w:val="nil"/>
              <w:left w:val="nil"/>
              <w:right w:val="single" w:sz="4" w:space="0" w:color="auto"/>
            </w:tcBorders>
            <w:shd w:val="clear" w:color="auto" w:fill="auto"/>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+0,4%</w:t>
            </w:r>
          </w:p>
        </w:tc>
      </w:tr>
      <w:tr w:rsidR="00022C98" w:rsidRPr="00022C98" w:rsidTr="00022C98">
        <w:trPr>
          <w:trHeight w:val="238"/>
        </w:trPr>
        <w:tc>
          <w:tcPr>
            <w:tcW w:w="3655" w:type="dxa"/>
            <w:tcBorders>
              <w:top w:val="nil"/>
              <w:left w:val="single" w:sz="4" w:space="0" w:color="auto"/>
              <w:right w:val="single" w:sz="4" w:space="0" w:color="auto"/>
            </w:tcBorders>
            <w:shd w:val="clear" w:color="auto" w:fill="auto"/>
            <w:noWrap/>
            <w:vAlign w:val="bottom"/>
          </w:tcPr>
          <w:p w:rsidR="00022C98" w:rsidRPr="00022C98" w:rsidRDefault="00022C98" w:rsidP="00022C98">
            <w:pPr>
              <w:tabs>
                <w:tab w:val="left" w:leader="dot" w:pos="3258"/>
              </w:tabs>
              <w:ind w:right="283"/>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Administrations de sécurité sociale</w:t>
            </w:r>
            <w:r w:rsidRPr="00022C98">
              <w:rPr>
                <w:rFonts w:ascii="Calibri" w:hAnsi="Calibri" w:cs="Calibri"/>
                <w:color w:val="auto"/>
                <w:sz w:val="22"/>
                <w:szCs w:val="22"/>
                <w:lang w:val="fr-FR" w:eastAsia="en-US"/>
              </w:rPr>
              <w:tab/>
            </w:r>
          </w:p>
        </w:tc>
        <w:tc>
          <w:tcPr>
            <w:tcW w:w="1001"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+1,7%</w:t>
            </w:r>
          </w:p>
        </w:tc>
        <w:tc>
          <w:tcPr>
            <w:tcW w:w="1002"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+1,6%</w:t>
            </w:r>
          </w:p>
        </w:tc>
        <w:tc>
          <w:tcPr>
            <w:tcW w:w="1002"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+1,5%</w:t>
            </w:r>
          </w:p>
        </w:tc>
        <w:tc>
          <w:tcPr>
            <w:tcW w:w="1002" w:type="dxa"/>
            <w:tcBorders>
              <w:top w:val="nil"/>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+1,5%</w:t>
            </w:r>
          </w:p>
        </w:tc>
        <w:tc>
          <w:tcPr>
            <w:tcW w:w="1370" w:type="dxa"/>
            <w:tcBorders>
              <w:top w:val="nil"/>
              <w:left w:val="nil"/>
              <w:right w:val="single" w:sz="4" w:space="0" w:color="auto"/>
            </w:tcBorders>
            <w:shd w:val="clear" w:color="auto" w:fill="auto"/>
            <w:vAlign w:val="bottom"/>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+1,3%</w:t>
            </w:r>
          </w:p>
        </w:tc>
      </w:tr>
      <w:tr w:rsidR="00022C98" w:rsidRPr="00022C98" w:rsidTr="00022C98">
        <w:trPr>
          <w:trHeight w:val="238"/>
        </w:trPr>
        <w:tc>
          <w:tcPr>
            <w:tcW w:w="3655" w:type="dxa"/>
            <w:tcBorders>
              <w:left w:val="single" w:sz="4" w:space="0" w:color="auto"/>
              <w:right w:val="single" w:sz="4" w:space="0" w:color="auto"/>
            </w:tcBorders>
            <w:shd w:val="clear" w:color="auto" w:fill="auto"/>
            <w:noWrap/>
            <w:vAlign w:val="bottom"/>
          </w:tcPr>
          <w:p w:rsidR="00022C98" w:rsidRPr="00022C98" w:rsidRDefault="00022C98" w:rsidP="00022C98">
            <w:pPr>
              <w:tabs>
                <w:tab w:val="left" w:leader="dot" w:pos="3116"/>
              </w:tabs>
              <w:ind w:right="283"/>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Administrations publiques :</w:t>
            </w:r>
          </w:p>
        </w:tc>
        <w:tc>
          <w:tcPr>
            <w:tcW w:w="1001" w:type="dxa"/>
            <w:tcBorders>
              <w:left w:val="nil"/>
              <w:right w:val="single" w:sz="4" w:space="0" w:color="auto"/>
            </w:tcBorders>
            <w:shd w:val="clear" w:color="auto" w:fill="auto"/>
            <w:noWrap/>
            <w:vAlign w:val="center"/>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w:t>
            </w:r>
          </w:p>
        </w:tc>
        <w:tc>
          <w:tcPr>
            <w:tcW w:w="1002" w:type="dxa"/>
            <w:tcBorders>
              <w:left w:val="nil"/>
              <w:right w:val="single" w:sz="4" w:space="0" w:color="auto"/>
            </w:tcBorders>
            <w:shd w:val="clear" w:color="auto" w:fill="auto"/>
            <w:noWrap/>
            <w:vAlign w:val="center"/>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w:t>
            </w:r>
          </w:p>
        </w:tc>
        <w:tc>
          <w:tcPr>
            <w:tcW w:w="1002" w:type="dxa"/>
            <w:tcBorders>
              <w:left w:val="nil"/>
              <w:right w:val="single" w:sz="4" w:space="0" w:color="auto"/>
            </w:tcBorders>
            <w:shd w:val="clear" w:color="auto" w:fill="auto"/>
            <w:noWrap/>
            <w:vAlign w:val="center"/>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w:t>
            </w:r>
          </w:p>
        </w:tc>
        <w:tc>
          <w:tcPr>
            <w:tcW w:w="1002" w:type="dxa"/>
            <w:tcBorders>
              <w:left w:val="nil"/>
              <w:right w:val="single" w:sz="4" w:space="0" w:color="auto"/>
            </w:tcBorders>
            <w:shd w:val="clear" w:color="auto" w:fill="auto"/>
            <w:noWrap/>
            <w:vAlign w:val="center"/>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w:t>
            </w:r>
          </w:p>
        </w:tc>
        <w:tc>
          <w:tcPr>
            <w:tcW w:w="1370" w:type="dxa"/>
            <w:tcBorders>
              <w:left w:val="nil"/>
              <w:right w:val="single" w:sz="4" w:space="0" w:color="auto"/>
            </w:tcBorders>
            <w:shd w:val="clear" w:color="auto" w:fill="auto"/>
            <w:vAlign w:val="center"/>
          </w:tcPr>
          <w:p w:rsidR="00022C98" w:rsidRPr="00022C98" w:rsidRDefault="00022C98" w:rsidP="00022C98">
            <w:pPr>
              <w:ind w:right="283"/>
              <w:jc w:val="right"/>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w:t>
            </w:r>
          </w:p>
        </w:tc>
      </w:tr>
      <w:tr w:rsidR="00022C98" w:rsidRPr="00022C98" w:rsidTr="00022C98">
        <w:trPr>
          <w:trHeight w:val="238"/>
        </w:trPr>
        <w:tc>
          <w:tcPr>
            <w:tcW w:w="3655" w:type="dxa"/>
            <w:tcBorders>
              <w:left w:val="single" w:sz="4" w:space="0" w:color="auto"/>
              <w:right w:val="single" w:sz="4" w:space="0" w:color="auto"/>
            </w:tcBorders>
            <w:shd w:val="clear" w:color="auto" w:fill="auto"/>
            <w:noWrap/>
            <w:vAlign w:val="bottom"/>
          </w:tcPr>
          <w:p w:rsidR="00022C98" w:rsidRPr="00022C98" w:rsidRDefault="00022C98" w:rsidP="00022C98">
            <w:pPr>
              <w:tabs>
                <w:tab w:val="left" w:leader="dot" w:pos="3258"/>
              </w:tabs>
              <w:ind w:right="283"/>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Solde nominal</w:t>
            </w:r>
            <w:r w:rsidRPr="00022C98">
              <w:rPr>
                <w:rFonts w:ascii="Calibri" w:hAnsi="Calibri" w:cs="Calibri"/>
                <w:color w:val="auto"/>
                <w:sz w:val="22"/>
                <w:szCs w:val="22"/>
                <w:lang w:val="fr-FR" w:eastAsia="en-US"/>
              </w:rPr>
              <w:tab/>
            </w:r>
          </w:p>
        </w:tc>
        <w:tc>
          <w:tcPr>
            <w:tcW w:w="1001" w:type="dxa"/>
            <w:tcBorders>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+2,0%</w:t>
            </w:r>
          </w:p>
        </w:tc>
        <w:tc>
          <w:tcPr>
            <w:tcW w:w="1002" w:type="dxa"/>
            <w:tcBorders>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+1,2%</w:t>
            </w:r>
          </w:p>
        </w:tc>
        <w:tc>
          <w:tcPr>
            <w:tcW w:w="1002" w:type="dxa"/>
            <w:tcBorders>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+1,4%</w:t>
            </w:r>
          </w:p>
        </w:tc>
        <w:tc>
          <w:tcPr>
            <w:tcW w:w="1002" w:type="dxa"/>
            <w:tcBorders>
              <w:left w:val="nil"/>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+1,8%</w:t>
            </w:r>
          </w:p>
        </w:tc>
        <w:tc>
          <w:tcPr>
            <w:tcW w:w="1370" w:type="dxa"/>
            <w:tcBorders>
              <w:left w:val="nil"/>
              <w:right w:val="single" w:sz="4" w:space="0" w:color="auto"/>
            </w:tcBorders>
            <w:shd w:val="clear" w:color="auto" w:fill="auto"/>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+2,0%</w:t>
            </w:r>
          </w:p>
        </w:tc>
      </w:tr>
      <w:tr w:rsidR="00022C98" w:rsidRPr="00022C98" w:rsidTr="00022C98">
        <w:trPr>
          <w:trHeight w:val="238"/>
        </w:trPr>
        <w:tc>
          <w:tcPr>
            <w:tcW w:w="3655" w:type="dxa"/>
            <w:tcBorders>
              <w:left w:val="single" w:sz="4" w:space="0" w:color="auto"/>
              <w:bottom w:val="single" w:sz="4" w:space="0" w:color="auto"/>
              <w:right w:val="single" w:sz="4" w:space="0" w:color="auto"/>
            </w:tcBorders>
            <w:shd w:val="clear" w:color="auto" w:fill="auto"/>
            <w:noWrap/>
            <w:vAlign w:val="bottom"/>
          </w:tcPr>
          <w:p w:rsidR="00022C98" w:rsidRPr="00022C98" w:rsidRDefault="00022C98" w:rsidP="00022C98">
            <w:pPr>
              <w:tabs>
                <w:tab w:val="left" w:leader="dot" w:pos="3258"/>
              </w:tabs>
              <w:ind w:right="283"/>
              <w:rPr>
                <w:rFonts w:ascii="Calibri" w:hAnsi="Calibri" w:cs="Calibri"/>
                <w:color w:val="auto"/>
                <w:sz w:val="22"/>
                <w:szCs w:val="22"/>
                <w:lang w:val="fr-FR" w:eastAsia="en-US"/>
              </w:rPr>
            </w:pPr>
            <w:r w:rsidRPr="00022C98">
              <w:rPr>
                <w:rFonts w:ascii="Calibri" w:hAnsi="Calibri" w:cs="Calibri"/>
                <w:color w:val="auto"/>
                <w:sz w:val="22"/>
                <w:szCs w:val="22"/>
                <w:lang w:val="fr-FR" w:eastAsia="en-US"/>
              </w:rPr>
              <w:t>- Solde structurel</w:t>
            </w:r>
            <w:r w:rsidRPr="00022C98">
              <w:rPr>
                <w:rFonts w:ascii="Calibri" w:hAnsi="Calibri" w:cs="Calibri"/>
                <w:color w:val="auto"/>
                <w:sz w:val="22"/>
                <w:szCs w:val="22"/>
                <w:lang w:val="fr-FR" w:eastAsia="en-US"/>
              </w:rPr>
              <w:tab/>
            </w:r>
          </w:p>
        </w:tc>
        <w:tc>
          <w:tcPr>
            <w:tcW w:w="1001" w:type="dxa"/>
            <w:tcBorders>
              <w:left w:val="nil"/>
              <w:bottom w:val="single" w:sz="4" w:space="0" w:color="auto"/>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+1,6%</w:t>
            </w:r>
          </w:p>
        </w:tc>
        <w:tc>
          <w:tcPr>
            <w:tcW w:w="1002" w:type="dxa"/>
            <w:tcBorders>
              <w:left w:val="nil"/>
              <w:bottom w:val="single" w:sz="4" w:space="0" w:color="auto"/>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+0,9%</w:t>
            </w:r>
          </w:p>
        </w:tc>
        <w:tc>
          <w:tcPr>
            <w:tcW w:w="1002" w:type="dxa"/>
            <w:tcBorders>
              <w:left w:val="nil"/>
              <w:bottom w:val="single" w:sz="4" w:space="0" w:color="auto"/>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+1,0%</w:t>
            </w:r>
          </w:p>
        </w:tc>
        <w:tc>
          <w:tcPr>
            <w:tcW w:w="1002" w:type="dxa"/>
            <w:tcBorders>
              <w:left w:val="nil"/>
              <w:bottom w:val="single" w:sz="4" w:space="0" w:color="auto"/>
              <w:right w:val="single" w:sz="4" w:space="0" w:color="auto"/>
            </w:tcBorders>
            <w:shd w:val="clear" w:color="auto" w:fill="auto"/>
            <w:noWrap/>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+1,6%</w:t>
            </w:r>
          </w:p>
        </w:tc>
        <w:tc>
          <w:tcPr>
            <w:tcW w:w="1370" w:type="dxa"/>
            <w:tcBorders>
              <w:left w:val="nil"/>
              <w:bottom w:val="single" w:sz="4" w:space="0" w:color="auto"/>
              <w:right w:val="single" w:sz="4" w:space="0" w:color="auto"/>
            </w:tcBorders>
            <w:shd w:val="clear" w:color="auto" w:fill="auto"/>
            <w:vAlign w:val="bottom"/>
          </w:tcPr>
          <w:p w:rsidR="00022C98" w:rsidRPr="00022C98" w:rsidRDefault="00022C98" w:rsidP="00022C98">
            <w:pPr>
              <w:ind w:right="283"/>
              <w:jc w:val="right"/>
              <w:rPr>
                <w:rFonts w:ascii="Calibri" w:hAnsi="Calibri" w:cs="Calibri"/>
                <w:bCs/>
                <w:color w:val="auto"/>
                <w:sz w:val="22"/>
                <w:szCs w:val="22"/>
                <w:lang w:val="fr-FR" w:eastAsia="en-US"/>
              </w:rPr>
            </w:pPr>
            <w:r w:rsidRPr="00022C98">
              <w:rPr>
                <w:rFonts w:ascii="Calibri" w:hAnsi="Calibri" w:cs="Calibri"/>
                <w:bCs/>
                <w:color w:val="auto"/>
                <w:sz w:val="22"/>
                <w:szCs w:val="22"/>
                <w:lang w:val="fr-FR" w:eastAsia="en-US"/>
              </w:rPr>
              <w:t>+1,9%</w:t>
            </w:r>
          </w:p>
        </w:tc>
      </w:tr>
    </w:tbl>
    <w:p w:rsidR="00022C98" w:rsidRPr="00022C98" w:rsidRDefault="00022C98" w:rsidP="00022C98">
      <w:pPr>
        <w:ind w:right="283" w:firstLine="426"/>
        <w:jc w:val="both"/>
        <w:rPr>
          <w:rFonts w:ascii="Calibri" w:hAnsi="Calibri" w:cs="Calibri"/>
          <w:color w:val="auto"/>
          <w:sz w:val="22"/>
          <w:szCs w:val="22"/>
          <w:lang w:val="fr-FR" w:eastAsia="en-US"/>
        </w:rPr>
      </w:pPr>
    </w:p>
    <w:p w:rsidR="00022C98" w:rsidRPr="00022C98" w:rsidRDefault="00022C98" w:rsidP="00022C98">
      <w:pPr>
        <w:ind w:right="283" w:firstLine="426"/>
        <w:jc w:val="both"/>
        <w:rPr>
          <w:rFonts w:ascii="Calibri" w:hAnsi="Calibri" w:cs="Calibri"/>
          <w:color w:val="auto"/>
          <w:sz w:val="22"/>
          <w:szCs w:val="22"/>
          <w:lang w:val="fr-FR" w:eastAsia="en-US"/>
        </w:rPr>
      </w:pPr>
    </w:p>
    <w:p w:rsidR="008A6759" w:rsidRPr="005C1701" w:rsidRDefault="008A6759" w:rsidP="00022C98">
      <w:pPr>
        <w:autoSpaceDE w:val="0"/>
        <w:autoSpaceDN w:val="0"/>
        <w:adjustRightInd w:val="0"/>
        <w:rPr>
          <w:rFonts w:cs="Arial"/>
          <w:b/>
          <w:color w:val="auto"/>
          <w:sz w:val="22"/>
          <w:szCs w:val="22"/>
          <w:u w:val="single"/>
          <w:lang w:val="fr-FR"/>
        </w:rPr>
      </w:pPr>
    </w:p>
    <w:sectPr w:rsidR="008A6759" w:rsidRPr="005C1701" w:rsidSect="006C287A">
      <w:headerReference w:type="even" r:id="rId8"/>
      <w:footerReference w:type="even" r:id="rId9"/>
      <w:footerReference w:type="default" r:id="rId10"/>
      <w:endnotePr>
        <w:numFmt w:val="decimal"/>
      </w:endnotePr>
      <w:type w:val="continuous"/>
      <w:pgSz w:w="11907" w:h="16840" w:code="199"/>
      <w:pgMar w:top="1418" w:right="1417"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46" w:rsidRDefault="00CD4C46">
      <w:r>
        <w:separator/>
      </w:r>
    </w:p>
  </w:endnote>
  <w:endnote w:type="continuationSeparator" w:id="0">
    <w:p w:rsidR="00CD4C46" w:rsidRDefault="00CD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09" w:rsidRDefault="000F0C0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F0C09" w:rsidRDefault="000F0C0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8EF" w:rsidRDefault="008768EF">
    <w:pPr>
      <w:pStyle w:val="Pieddepage"/>
      <w:jc w:val="center"/>
    </w:pPr>
    <w:r w:rsidRPr="008768EF">
      <w:rPr>
        <w:sz w:val="20"/>
      </w:rPr>
      <w:fldChar w:fldCharType="begin"/>
    </w:r>
    <w:r w:rsidRPr="008768EF">
      <w:rPr>
        <w:sz w:val="20"/>
      </w:rPr>
      <w:instrText>PAGE   \* MERGEFORMAT</w:instrText>
    </w:r>
    <w:r w:rsidRPr="008768EF">
      <w:rPr>
        <w:sz w:val="20"/>
      </w:rPr>
      <w:fldChar w:fldCharType="separate"/>
    </w:r>
    <w:r w:rsidR="003C40A6" w:rsidRPr="003C40A6">
      <w:rPr>
        <w:noProof/>
        <w:sz w:val="20"/>
        <w:lang w:val="fr-FR"/>
      </w:rPr>
      <w:t>1</w:t>
    </w:r>
    <w:r w:rsidRPr="008768EF">
      <w:rPr>
        <w:sz w:val="20"/>
      </w:rPr>
      <w:fldChar w:fldCharType="end"/>
    </w:r>
  </w:p>
  <w:p w:rsidR="000F0C09" w:rsidRDefault="000F0C09">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46" w:rsidRDefault="00CD4C46">
      <w:r>
        <w:separator/>
      </w:r>
    </w:p>
  </w:footnote>
  <w:footnote w:type="continuationSeparator" w:id="0">
    <w:p w:rsidR="00CD4C46" w:rsidRDefault="00CD4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09" w:rsidRDefault="000F0C0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103</w:t>
    </w:r>
    <w:r>
      <w:rPr>
        <w:rStyle w:val="Numrodepage"/>
      </w:rPr>
      <w:fldChar w:fldCharType="end"/>
    </w:r>
  </w:p>
  <w:p w:rsidR="000F0C09" w:rsidRDefault="000F0C0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A74"/>
    <w:multiLevelType w:val="multilevel"/>
    <w:tmpl w:val="F0F43FF6"/>
    <w:lvl w:ilvl="0">
      <w:start w:val="2"/>
      <w:numFmt w:val="decimal"/>
      <w:lvlText w:val="Art. %1."/>
      <w:lvlJc w:val="left"/>
      <w:pPr>
        <w:ind w:left="720" w:hanging="360"/>
      </w:pPr>
      <w:rPr>
        <w:rFonts w:hint="default"/>
        <w:b/>
        <w:i w:val="0"/>
        <w:u w:val="none"/>
      </w:rPr>
    </w:lvl>
    <w:lvl w:ilvl="1">
      <w:start w:val="1"/>
      <w:numFmt w:val="decimal"/>
      <w:lvlText w:val="Art. %2er."/>
      <w:lvlJc w:val="left"/>
      <w:pPr>
        <w:ind w:left="1440" w:hanging="360"/>
      </w:pPr>
      <w:rPr>
        <w:rFonts w:hint="default"/>
        <w:b/>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6C555A"/>
    <w:multiLevelType w:val="hybridMultilevel"/>
    <w:tmpl w:val="62304A72"/>
    <w:lvl w:ilvl="0" w:tplc="F9887ADE">
      <w:start w:val="24"/>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71C7DD6"/>
    <w:multiLevelType w:val="hybridMultilevel"/>
    <w:tmpl w:val="747C52E2"/>
    <w:lvl w:ilvl="0" w:tplc="1764A226">
      <w:start w:val="28"/>
      <w:numFmt w:val="decimal"/>
      <w:lvlText w:val="Art. %1."/>
      <w:lvlJc w:val="left"/>
      <w:pPr>
        <w:ind w:left="786" w:hanging="360"/>
      </w:pPr>
      <w:rPr>
        <w:rFonts w:ascii="Arial" w:hAnsi="Arial" w:cs="Arial" w:hint="default"/>
        <w:b/>
        <w:i w:val="0"/>
        <w:sz w:val="22"/>
        <w:szCs w:val="22"/>
        <w:lang w:val="en-US"/>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B20029A"/>
    <w:multiLevelType w:val="singleLevel"/>
    <w:tmpl w:val="F5FC4D7C"/>
    <w:lvl w:ilvl="0">
      <w:start w:val="4"/>
      <w:numFmt w:val="decimal"/>
      <w:pStyle w:val="Titre3"/>
      <w:lvlText w:val="Art. %1.-"/>
      <w:lvlJc w:val="left"/>
      <w:pPr>
        <w:tabs>
          <w:tab w:val="num" w:pos="1287"/>
        </w:tabs>
        <w:ind w:left="360" w:firstLine="207"/>
      </w:pPr>
      <w:rPr>
        <w:rFonts w:ascii="Times" w:hAnsi="Times" w:hint="default"/>
        <w:b/>
        <w:i w:val="0"/>
        <w:sz w:val="20"/>
      </w:rPr>
    </w:lvl>
  </w:abstractNum>
  <w:abstractNum w:abstractNumId="4" w15:restartNumberingAfterBreak="0">
    <w:nsid w:val="0C280458"/>
    <w:multiLevelType w:val="hybridMultilevel"/>
    <w:tmpl w:val="9ED04194"/>
    <w:lvl w:ilvl="0" w:tplc="C51AFF12">
      <w:start w:val="19"/>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0DA35AD3"/>
    <w:multiLevelType w:val="hybridMultilevel"/>
    <w:tmpl w:val="5FB04134"/>
    <w:lvl w:ilvl="0" w:tplc="BCE4FF74">
      <w:start w:val="22"/>
      <w:numFmt w:val="decimal"/>
      <w:lvlText w:val="Art. %1."/>
      <w:lvlJc w:val="left"/>
      <w:pPr>
        <w:ind w:left="786" w:hanging="360"/>
      </w:pPr>
      <w:rPr>
        <w:rFonts w:ascii="Arial" w:hAnsi="Arial" w:cs="Arial" w:hint="default"/>
        <w:b/>
        <w:i w:val="0"/>
        <w:sz w:val="22"/>
        <w:szCs w:val="22"/>
        <w:lang w:val="fr-LU"/>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10096008"/>
    <w:multiLevelType w:val="singleLevel"/>
    <w:tmpl w:val="9B4E68E4"/>
    <w:lvl w:ilvl="0">
      <w:numFmt w:val="none"/>
      <w:pStyle w:val="Titre1"/>
      <w:lvlText w:val=""/>
      <w:lvlJc w:val="left"/>
      <w:pPr>
        <w:tabs>
          <w:tab w:val="num" w:pos="360"/>
        </w:tabs>
      </w:pPr>
    </w:lvl>
  </w:abstractNum>
  <w:abstractNum w:abstractNumId="7" w15:restartNumberingAfterBreak="0">
    <w:nsid w:val="1A171F41"/>
    <w:multiLevelType w:val="hybridMultilevel"/>
    <w:tmpl w:val="5FB4D24E"/>
    <w:lvl w:ilvl="0" w:tplc="A05C9748">
      <w:start w:val="10"/>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11C66D0"/>
    <w:multiLevelType w:val="hybridMultilevel"/>
    <w:tmpl w:val="279AB51E"/>
    <w:lvl w:ilvl="0" w:tplc="D85A95D2">
      <w:start w:val="5"/>
      <w:numFmt w:val="decimal"/>
      <w:lvlText w:val="Art. %1."/>
      <w:lvlJc w:val="left"/>
      <w:pPr>
        <w:ind w:left="5039" w:hanging="360"/>
      </w:pPr>
      <w:rPr>
        <w:rFonts w:ascii="Arial" w:hAnsi="Arial" w:cs="Arial" w:hint="default"/>
        <w:b/>
        <w:i w:val="0"/>
        <w:sz w:val="22"/>
        <w:szCs w:val="22"/>
      </w:rPr>
    </w:lvl>
    <w:lvl w:ilvl="1" w:tplc="140C0019" w:tentative="1">
      <w:start w:val="1"/>
      <w:numFmt w:val="lowerLetter"/>
      <w:lvlText w:val="%2."/>
      <w:lvlJc w:val="left"/>
      <w:pPr>
        <w:ind w:left="3142" w:hanging="360"/>
      </w:pPr>
    </w:lvl>
    <w:lvl w:ilvl="2" w:tplc="140C001B" w:tentative="1">
      <w:start w:val="1"/>
      <w:numFmt w:val="lowerRoman"/>
      <w:lvlText w:val="%3."/>
      <w:lvlJc w:val="right"/>
      <w:pPr>
        <w:ind w:left="3862" w:hanging="180"/>
      </w:pPr>
    </w:lvl>
    <w:lvl w:ilvl="3" w:tplc="140C000F" w:tentative="1">
      <w:start w:val="1"/>
      <w:numFmt w:val="decimal"/>
      <w:lvlText w:val="%4."/>
      <w:lvlJc w:val="left"/>
      <w:pPr>
        <w:ind w:left="4582" w:hanging="360"/>
      </w:pPr>
    </w:lvl>
    <w:lvl w:ilvl="4" w:tplc="140C0019" w:tentative="1">
      <w:start w:val="1"/>
      <w:numFmt w:val="lowerLetter"/>
      <w:lvlText w:val="%5."/>
      <w:lvlJc w:val="left"/>
      <w:pPr>
        <w:ind w:left="5302" w:hanging="360"/>
      </w:pPr>
    </w:lvl>
    <w:lvl w:ilvl="5" w:tplc="140C001B" w:tentative="1">
      <w:start w:val="1"/>
      <w:numFmt w:val="lowerRoman"/>
      <w:lvlText w:val="%6."/>
      <w:lvlJc w:val="right"/>
      <w:pPr>
        <w:ind w:left="6022" w:hanging="180"/>
      </w:pPr>
    </w:lvl>
    <w:lvl w:ilvl="6" w:tplc="140C000F" w:tentative="1">
      <w:start w:val="1"/>
      <w:numFmt w:val="decimal"/>
      <w:lvlText w:val="%7."/>
      <w:lvlJc w:val="left"/>
      <w:pPr>
        <w:ind w:left="6742" w:hanging="360"/>
      </w:pPr>
    </w:lvl>
    <w:lvl w:ilvl="7" w:tplc="140C0019" w:tentative="1">
      <w:start w:val="1"/>
      <w:numFmt w:val="lowerLetter"/>
      <w:lvlText w:val="%8."/>
      <w:lvlJc w:val="left"/>
      <w:pPr>
        <w:ind w:left="7462" w:hanging="360"/>
      </w:pPr>
    </w:lvl>
    <w:lvl w:ilvl="8" w:tplc="140C001B" w:tentative="1">
      <w:start w:val="1"/>
      <w:numFmt w:val="lowerRoman"/>
      <w:lvlText w:val="%9."/>
      <w:lvlJc w:val="right"/>
      <w:pPr>
        <w:ind w:left="8182" w:hanging="180"/>
      </w:pPr>
    </w:lvl>
  </w:abstractNum>
  <w:abstractNum w:abstractNumId="9" w15:restartNumberingAfterBreak="0">
    <w:nsid w:val="2E7867E8"/>
    <w:multiLevelType w:val="singleLevel"/>
    <w:tmpl w:val="604000D6"/>
    <w:lvl w:ilvl="0">
      <w:numFmt w:val="none"/>
      <w:pStyle w:val="Lgende"/>
      <w:lvlText w:val=""/>
      <w:lvlJc w:val="left"/>
      <w:pPr>
        <w:tabs>
          <w:tab w:val="num" w:pos="360"/>
        </w:tabs>
      </w:pPr>
    </w:lvl>
  </w:abstractNum>
  <w:abstractNum w:abstractNumId="10" w15:restartNumberingAfterBreak="0">
    <w:nsid w:val="46AA3A65"/>
    <w:multiLevelType w:val="hybridMultilevel"/>
    <w:tmpl w:val="0390FC52"/>
    <w:lvl w:ilvl="0" w:tplc="863A012E">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B288B"/>
    <w:multiLevelType w:val="hybridMultilevel"/>
    <w:tmpl w:val="221A8770"/>
    <w:lvl w:ilvl="0" w:tplc="9CB0865A">
      <w:start w:val="41"/>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50076BCA"/>
    <w:multiLevelType w:val="hybridMultilevel"/>
    <w:tmpl w:val="3F561500"/>
    <w:lvl w:ilvl="0" w:tplc="29B2DBFC">
      <w:start w:val="3"/>
      <w:numFmt w:val="decimal"/>
      <w:lvlText w:val="Art. %1."/>
      <w:lvlJc w:val="left"/>
      <w:pPr>
        <w:ind w:left="927" w:hanging="360"/>
      </w:pPr>
      <w:rPr>
        <w:rFonts w:ascii="Arial" w:hAnsi="Arial" w:cs="Arial" w:hint="default"/>
        <w:b/>
        <w:i w:val="0"/>
        <w:sz w:val="22"/>
        <w:szCs w:val="22"/>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8A4073"/>
    <w:multiLevelType w:val="hybridMultilevel"/>
    <w:tmpl w:val="97B0B59C"/>
    <w:lvl w:ilvl="0" w:tplc="2676DCEA">
      <w:start w:val="6"/>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5363437C"/>
    <w:multiLevelType w:val="hybridMultilevel"/>
    <w:tmpl w:val="495CE142"/>
    <w:lvl w:ilvl="0" w:tplc="558A04CE">
      <w:start w:val="1"/>
      <w:numFmt w:val="low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68F4EAB"/>
    <w:multiLevelType w:val="hybridMultilevel"/>
    <w:tmpl w:val="91249B80"/>
    <w:lvl w:ilvl="0" w:tplc="4948B406">
      <w:start w:val="36"/>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674B7F03"/>
    <w:multiLevelType w:val="hybridMultilevel"/>
    <w:tmpl w:val="9CE80C58"/>
    <w:lvl w:ilvl="0" w:tplc="F168A6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C80869"/>
    <w:multiLevelType w:val="hybridMultilevel"/>
    <w:tmpl w:val="9FC4AF76"/>
    <w:lvl w:ilvl="0" w:tplc="D39A3C52">
      <w:start w:val="1"/>
      <w:numFmt w:val="decimal"/>
      <w:lvlText w:val="%1)"/>
      <w:lvlJc w:val="left"/>
      <w:pPr>
        <w:ind w:left="705" w:hanging="705"/>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8" w15:restartNumberingAfterBreak="0">
    <w:nsid w:val="715D558B"/>
    <w:multiLevelType w:val="hybridMultilevel"/>
    <w:tmpl w:val="FA8C96D4"/>
    <w:lvl w:ilvl="0" w:tplc="C2942FA2">
      <w:start w:val="44"/>
      <w:numFmt w:val="decimal"/>
      <w:lvlText w:val="Art. %1."/>
      <w:lvlJc w:val="left"/>
      <w:pPr>
        <w:ind w:left="360" w:hanging="360"/>
      </w:pPr>
      <w:rPr>
        <w:rFonts w:ascii="Arial" w:hAnsi="Arial" w:cs="Arial" w:hint="default"/>
        <w:b/>
        <w:i w:val="0"/>
        <w:sz w:val="22"/>
        <w:szCs w:val="22"/>
      </w:rPr>
    </w:lvl>
    <w:lvl w:ilvl="1" w:tplc="140C0019" w:tentative="1">
      <w:start w:val="1"/>
      <w:numFmt w:val="lowerLetter"/>
      <w:lvlText w:val="%2."/>
      <w:lvlJc w:val="left"/>
      <w:pPr>
        <w:ind w:left="1014" w:hanging="360"/>
      </w:pPr>
    </w:lvl>
    <w:lvl w:ilvl="2" w:tplc="140C001B" w:tentative="1">
      <w:start w:val="1"/>
      <w:numFmt w:val="lowerRoman"/>
      <w:lvlText w:val="%3."/>
      <w:lvlJc w:val="right"/>
      <w:pPr>
        <w:ind w:left="1734" w:hanging="180"/>
      </w:pPr>
    </w:lvl>
    <w:lvl w:ilvl="3" w:tplc="140C000F" w:tentative="1">
      <w:start w:val="1"/>
      <w:numFmt w:val="decimal"/>
      <w:lvlText w:val="%4."/>
      <w:lvlJc w:val="left"/>
      <w:pPr>
        <w:ind w:left="2454" w:hanging="360"/>
      </w:pPr>
    </w:lvl>
    <w:lvl w:ilvl="4" w:tplc="140C0019" w:tentative="1">
      <w:start w:val="1"/>
      <w:numFmt w:val="lowerLetter"/>
      <w:lvlText w:val="%5."/>
      <w:lvlJc w:val="left"/>
      <w:pPr>
        <w:ind w:left="3174" w:hanging="360"/>
      </w:pPr>
    </w:lvl>
    <w:lvl w:ilvl="5" w:tplc="140C001B" w:tentative="1">
      <w:start w:val="1"/>
      <w:numFmt w:val="lowerRoman"/>
      <w:lvlText w:val="%6."/>
      <w:lvlJc w:val="right"/>
      <w:pPr>
        <w:ind w:left="3894" w:hanging="180"/>
      </w:pPr>
    </w:lvl>
    <w:lvl w:ilvl="6" w:tplc="140C000F" w:tentative="1">
      <w:start w:val="1"/>
      <w:numFmt w:val="decimal"/>
      <w:lvlText w:val="%7."/>
      <w:lvlJc w:val="left"/>
      <w:pPr>
        <w:ind w:left="4614" w:hanging="360"/>
      </w:pPr>
    </w:lvl>
    <w:lvl w:ilvl="7" w:tplc="140C0019" w:tentative="1">
      <w:start w:val="1"/>
      <w:numFmt w:val="lowerLetter"/>
      <w:lvlText w:val="%8."/>
      <w:lvlJc w:val="left"/>
      <w:pPr>
        <w:ind w:left="5334" w:hanging="360"/>
      </w:pPr>
    </w:lvl>
    <w:lvl w:ilvl="8" w:tplc="140C001B" w:tentative="1">
      <w:start w:val="1"/>
      <w:numFmt w:val="lowerRoman"/>
      <w:lvlText w:val="%9."/>
      <w:lvlJc w:val="right"/>
      <w:pPr>
        <w:ind w:left="6054" w:hanging="180"/>
      </w:pPr>
    </w:lvl>
  </w:abstractNum>
  <w:num w:numId="1">
    <w:abstractNumId w:val="6"/>
  </w:num>
  <w:num w:numId="2">
    <w:abstractNumId w:val="9"/>
  </w:num>
  <w:num w:numId="3">
    <w:abstractNumId w:val="3"/>
  </w:num>
  <w:num w:numId="4">
    <w:abstractNumId w:val="12"/>
  </w:num>
  <w:num w:numId="5">
    <w:abstractNumId w:val="17"/>
  </w:num>
  <w:num w:numId="6">
    <w:abstractNumId w:val="8"/>
  </w:num>
  <w:num w:numId="7">
    <w:abstractNumId w:val="7"/>
  </w:num>
  <w:num w:numId="8">
    <w:abstractNumId w:val="4"/>
  </w:num>
  <w:num w:numId="9">
    <w:abstractNumId w:val="5"/>
  </w:num>
  <w:num w:numId="10">
    <w:abstractNumId w:val="1"/>
  </w:num>
  <w:num w:numId="11">
    <w:abstractNumId w:val="2"/>
  </w:num>
  <w:num w:numId="12">
    <w:abstractNumId w:val="15"/>
  </w:num>
  <w:num w:numId="13">
    <w:abstractNumId w:val="11"/>
  </w:num>
  <w:num w:numId="14">
    <w:abstractNumId w:val="1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activeWritingStyle w:appName="MSWord" w:lang="fr-LU"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1"/>
  <w:activeWritingStyle w:appName="MSWord" w:lang="fr-CA" w:vendorID="64" w:dllVersion="6" w:nlCheck="1" w:checkStyle="1"/>
  <w:activeWritingStyle w:appName="MSWord" w:lang="fr-L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BE"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37"/>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3AE"/>
    <w:rsid w:val="0000012C"/>
    <w:rsid w:val="00003185"/>
    <w:rsid w:val="00003346"/>
    <w:rsid w:val="000060DD"/>
    <w:rsid w:val="000063A8"/>
    <w:rsid w:val="00006956"/>
    <w:rsid w:val="0000756F"/>
    <w:rsid w:val="00010FDA"/>
    <w:rsid w:val="00012024"/>
    <w:rsid w:val="0001232E"/>
    <w:rsid w:val="0001261A"/>
    <w:rsid w:val="00012B1D"/>
    <w:rsid w:val="0001334D"/>
    <w:rsid w:val="00013406"/>
    <w:rsid w:val="00013BFE"/>
    <w:rsid w:val="000141D4"/>
    <w:rsid w:val="00015BE4"/>
    <w:rsid w:val="00015FFE"/>
    <w:rsid w:val="0001624C"/>
    <w:rsid w:val="000165DB"/>
    <w:rsid w:val="00017147"/>
    <w:rsid w:val="0001726D"/>
    <w:rsid w:val="0002049B"/>
    <w:rsid w:val="00020768"/>
    <w:rsid w:val="00021373"/>
    <w:rsid w:val="00022C98"/>
    <w:rsid w:val="00023834"/>
    <w:rsid w:val="00025987"/>
    <w:rsid w:val="00025FE1"/>
    <w:rsid w:val="00027DC5"/>
    <w:rsid w:val="00027E63"/>
    <w:rsid w:val="00031A8F"/>
    <w:rsid w:val="00032989"/>
    <w:rsid w:val="00032C83"/>
    <w:rsid w:val="00033131"/>
    <w:rsid w:val="00033382"/>
    <w:rsid w:val="00033EF8"/>
    <w:rsid w:val="00034186"/>
    <w:rsid w:val="000346D5"/>
    <w:rsid w:val="000359C3"/>
    <w:rsid w:val="00035A30"/>
    <w:rsid w:val="00035BE6"/>
    <w:rsid w:val="00035C4A"/>
    <w:rsid w:val="000402DB"/>
    <w:rsid w:val="00040E69"/>
    <w:rsid w:val="00041840"/>
    <w:rsid w:val="00042635"/>
    <w:rsid w:val="0004280E"/>
    <w:rsid w:val="000428E1"/>
    <w:rsid w:val="00042C55"/>
    <w:rsid w:val="00043442"/>
    <w:rsid w:val="00043A76"/>
    <w:rsid w:val="00044F51"/>
    <w:rsid w:val="00045012"/>
    <w:rsid w:val="000450DB"/>
    <w:rsid w:val="00045D00"/>
    <w:rsid w:val="00046B10"/>
    <w:rsid w:val="00047238"/>
    <w:rsid w:val="00047D82"/>
    <w:rsid w:val="00050F1B"/>
    <w:rsid w:val="00052604"/>
    <w:rsid w:val="0005618F"/>
    <w:rsid w:val="00056C88"/>
    <w:rsid w:val="0005731E"/>
    <w:rsid w:val="000573B0"/>
    <w:rsid w:val="00060748"/>
    <w:rsid w:val="00060E9A"/>
    <w:rsid w:val="000610BD"/>
    <w:rsid w:val="00062819"/>
    <w:rsid w:val="000639E3"/>
    <w:rsid w:val="00064A66"/>
    <w:rsid w:val="00066BBA"/>
    <w:rsid w:val="000676B5"/>
    <w:rsid w:val="000679A4"/>
    <w:rsid w:val="0007233A"/>
    <w:rsid w:val="0007344B"/>
    <w:rsid w:val="0007430D"/>
    <w:rsid w:val="00074F1F"/>
    <w:rsid w:val="00075C22"/>
    <w:rsid w:val="00075CC1"/>
    <w:rsid w:val="000774D6"/>
    <w:rsid w:val="00077938"/>
    <w:rsid w:val="00077D33"/>
    <w:rsid w:val="00077DB3"/>
    <w:rsid w:val="000801A0"/>
    <w:rsid w:val="000803F2"/>
    <w:rsid w:val="00080450"/>
    <w:rsid w:val="0008071D"/>
    <w:rsid w:val="00081D06"/>
    <w:rsid w:val="000823A9"/>
    <w:rsid w:val="000828B8"/>
    <w:rsid w:val="0008316B"/>
    <w:rsid w:val="000846B2"/>
    <w:rsid w:val="000868C4"/>
    <w:rsid w:val="000868EC"/>
    <w:rsid w:val="000874AB"/>
    <w:rsid w:val="000913D5"/>
    <w:rsid w:val="00096173"/>
    <w:rsid w:val="0009650B"/>
    <w:rsid w:val="0009652C"/>
    <w:rsid w:val="000A1016"/>
    <w:rsid w:val="000A108B"/>
    <w:rsid w:val="000A1570"/>
    <w:rsid w:val="000A2680"/>
    <w:rsid w:val="000A41E5"/>
    <w:rsid w:val="000A47AB"/>
    <w:rsid w:val="000A5C49"/>
    <w:rsid w:val="000A737C"/>
    <w:rsid w:val="000A765B"/>
    <w:rsid w:val="000B00B2"/>
    <w:rsid w:val="000B1E4B"/>
    <w:rsid w:val="000B3934"/>
    <w:rsid w:val="000B3DD8"/>
    <w:rsid w:val="000B520F"/>
    <w:rsid w:val="000B636A"/>
    <w:rsid w:val="000B639D"/>
    <w:rsid w:val="000B645B"/>
    <w:rsid w:val="000B668B"/>
    <w:rsid w:val="000B7F55"/>
    <w:rsid w:val="000C0037"/>
    <w:rsid w:val="000C051E"/>
    <w:rsid w:val="000C0824"/>
    <w:rsid w:val="000C0C2C"/>
    <w:rsid w:val="000C1255"/>
    <w:rsid w:val="000C215A"/>
    <w:rsid w:val="000C2522"/>
    <w:rsid w:val="000C4F77"/>
    <w:rsid w:val="000C5448"/>
    <w:rsid w:val="000C56D4"/>
    <w:rsid w:val="000C6296"/>
    <w:rsid w:val="000C6A7B"/>
    <w:rsid w:val="000C7D97"/>
    <w:rsid w:val="000D001C"/>
    <w:rsid w:val="000D050B"/>
    <w:rsid w:val="000D1B93"/>
    <w:rsid w:val="000D2E8B"/>
    <w:rsid w:val="000D2EF9"/>
    <w:rsid w:val="000D355A"/>
    <w:rsid w:val="000D3B5A"/>
    <w:rsid w:val="000D3BE7"/>
    <w:rsid w:val="000D4021"/>
    <w:rsid w:val="000D432A"/>
    <w:rsid w:val="000D4789"/>
    <w:rsid w:val="000E0355"/>
    <w:rsid w:val="000E1E9B"/>
    <w:rsid w:val="000E2F2B"/>
    <w:rsid w:val="000E36AE"/>
    <w:rsid w:val="000E4208"/>
    <w:rsid w:val="000E728A"/>
    <w:rsid w:val="000E7615"/>
    <w:rsid w:val="000F09A1"/>
    <w:rsid w:val="000F0C09"/>
    <w:rsid w:val="000F0F47"/>
    <w:rsid w:val="000F1FBC"/>
    <w:rsid w:val="000F32B4"/>
    <w:rsid w:val="000F3660"/>
    <w:rsid w:val="000F4943"/>
    <w:rsid w:val="000F5F99"/>
    <w:rsid w:val="000F6A43"/>
    <w:rsid w:val="000F726C"/>
    <w:rsid w:val="000F7877"/>
    <w:rsid w:val="000F7F66"/>
    <w:rsid w:val="001002A9"/>
    <w:rsid w:val="00100322"/>
    <w:rsid w:val="00100E83"/>
    <w:rsid w:val="001015AE"/>
    <w:rsid w:val="001049FA"/>
    <w:rsid w:val="001053B1"/>
    <w:rsid w:val="0010580B"/>
    <w:rsid w:val="00105853"/>
    <w:rsid w:val="00105E56"/>
    <w:rsid w:val="0010635B"/>
    <w:rsid w:val="001066EA"/>
    <w:rsid w:val="00107716"/>
    <w:rsid w:val="00110134"/>
    <w:rsid w:val="00110293"/>
    <w:rsid w:val="00111D0A"/>
    <w:rsid w:val="00112164"/>
    <w:rsid w:val="00113CCC"/>
    <w:rsid w:val="00113F65"/>
    <w:rsid w:val="00115427"/>
    <w:rsid w:val="00115AC4"/>
    <w:rsid w:val="001167A2"/>
    <w:rsid w:val="00117B41"/>
    <w:rsid w:val="00120BAB"/>
    <w:rsid w:val="0012207A"/>
    <w:rsid w:val="001230F7"/>
    <w:rsid w:val="001238E1"/>
    <w:rsid w:val="001246A0"/>
    <w:rsid w:val="00130EFC"/>
    <w:rsid w:val="001319CE"/>
    <w:rsid w:val="00132B95"/>
    <w:rsid w:val="00132E4F"/>
    <w:rsid w:val="00133C55"/>
    <w:rsid w:val="0013420B"/>
    <w:rsid w:val="0013444F"/>
    <w:rsid w:val="00135AE7"/>
    <w:rsid w:val="0013663F"/>
    <w:rsid w:val="00136F5C"/>
    <w:rsid w:val="001379CB"/>
    <w:rsid w:val="00137FA4"/>
    <w:rsid w:val="00140C8C"/>
    <w:rsid w:val="00142B2E"/>
    <w:rsid w:val="00144102"/>
    <w:rsid w:val="00144784"/>
    <w:rsid w:val="00145771"/>
    <w:rsid w:val="00145888"/>
    <w:rsid w:val="0014592E"/>
    <w:rsid w:val="00146487"/>
    <w:rsid w:val="00147BE1"/>
    <w:rsid w:val="00147F76"/>
    <w:rsid w:val="0015045D"/>
    <w:rsid w:val="00150BC6"/>
    <w:rsid w:val="001519C7"/>
    <w:rsid w:val="00151A99"/>
    <w:rsid w:val="00151E76"/>
    <w:rsid w:val="00153569"/>
    <w:rsid w:val="00154690"/>
    <w:rsid w:val="00155985"/>
    <w:rsid w:val="00161EAF"/>
    <w:rsid w:val="00161FD6"/>
    <w:rsid w:val="0016280D"/>
    <w:rsid w:val="00164580"/>
    <w:rsid w:val="00164920"/>
    <w:rsid w:val="00165AB4"/>
    <w:rsid w:val="001662D7"/>
    <w:rsid w:val="001665FB"/>
    <w:rsid w:val="001670E3"/>
    <w:rsid w:val="001674E6"/>
    <w:rsid w:val="00167E38"/>
    <w:rsid w:val="00170E30"/>
    <w:rsid w:val="00172A93"/>
    <w:rsid w:val="00173BC0"/>
    <w:rsid w:val="00173C54"/>
    <w:rsid w:val="00175273"/>
    <w:rsid w:val="0017551E"/>
    <w:rsid w:val="0017686E"/>
    <w:rsid w:val="00177A42"/>
    <w:rsid w:val="00177C29"/>
    <w:rsid w:val="00177FD7"/>
    <w:rsid w:val="00180E8A"/>
    <w:rsid w:val="0018193F"/>
    <w:rsid w:val="00182194"/>
    <w:rsid w:val="0018278B"/>
    <w:rsid w:val="001875FA"/>
    <w:rsid w:val="001879F9"/>
    <w:rsid w:val="00190D23"/>
    <w:rsid w:val="00191B70"/>
    <w:rsid w:val="00192B94"/>
    <w:rsid w:val="00192D14"/>
    <w:rsid w:val="0019313E"/>
    <w:rsid w:val="00194819"/>
    <w:rsid w:val="00195658"/>
    <w:rsid w:val="00196639"/>
    <w:rsid w:val="001A2685"/>
    <w:rsid w:val="001A2FB5"/>
    <w:rsid w:val="001A3214"/>
    <w:rsid w:val="001A5685"/>
    <w:rsid w:val="001A5D98"/>
    <w:rsid w:val="001A67E4"/>
    <w:rsid w:val="001B08B8"/>
    <w:rsid w:val="001B13FE"/>
    <w:rsid w:val="001B1FD2"/>
    <w:rsid w:val="001B1FF6"/>
    <w:rsid w:val="001B3704"/>
    <w:rsid w:val="001B48F3"/>
    <w:rsid w:val="001B5633"/>
    <w:rsid w:val="001B5961"/>
    <w:rsid w:val="001B5EEB"/>
    <w:rsid w:val="001B71E6"/>
    <w:rsid w:val="001B7320"/>
    <w:rsid w:val="001C0DC3"/>
    <w:rsid w:val="001C1D06"/>
    <w:rsid w:val="001C28A8"/>
    <w:rsid w:val="001C51BE"/>
    <w:rsid w:val="001C638C"/>
    <w:rsid w:val="001C6A34"/>
    <w:rsid w:val="001C6E4B"/>
    <w:rsid w:val="001C73AE"/>
    <w:rsid w:val="001D0217"/>
    <w:rsid w:val="001D0CEA"/>
    <w:rsid w:val="001D10D7"/>
    <w:rsid w:val="001D253B"/>
    <w:rsid w:val="001D2560"/>
    <w:rsid w:val="001D3074"/>
    <w:rsid w:val="001D5541"/>
    <w:rsid w:val="001D5F6B"/>
    <w:rsid w:val="001E0C6E"/>
    <w:rsid w:val="001E1262"/>
    <w:rsid w:val="001E1647"/>
    <w:rsid w:val="001E263D"/>
    <w:rsid w:val="001E7103"/>
    <w:rsid w:val="001E7426"/>
    <w:rsid w:val="001F04FD"/>
    <w:rsid w:val="001F07B3"/>
    <w:rsid w:val="001F0C9E"/>
    <w:rsid w:val="001F150E"/>
    <w:rsid w:val="001F21BF"/>
    <w:rsid w:val="001F2CB4"/>
    <w:rsid w:val="001F2E22"/>
    <w:rsid w:val="001F66D8"/>
    <w:rsid w:val="001F7F4E"/>
    <w:rsid w:val="00200BF4"/>
    <w:rsid w:val="00201414"/>
    <w:rsid w:val="00201420"/>
    <w:rsid w:val="0020251B"/>
    <w:rsid w:val="002026E3"/>
    <w:rsid w:val="00202E4A"/>
    <w:rsid w:val="00202FF8"/>
    <w:rsid w:val="00204A43"/>
    <w:rsid w:val="00206B23"/>
    <w:rsid w:val="00206F6E"/>
    <w:rsid w:val="002076B5"/>
    <w:rsid w:val="002106CE"/>
    <w:rsid w:val="002115A0"/>
    <w:rsid w:val="002118D6"/>
    <w:rsid w:val="00211B02"/>
    <w:rsid w:val="00211EDF"/>
    <w:rsid w:val="00212692"/>
    <w:rsid w:val="002139B1"/>
    <w:rsid w:val="00214385"/>
    <w:rsid w:val="00215094"/>
    <w:rsid w:val="002173E6"/>
    <w:rsid w:val="00217FC6"/>
    <w:rsid w:val="00220A4C"/>
    <w:rsid w:val="00221DFE"/>
    <w:rsid w:val="00222E0E"/>
    <w:rsid w:val="002241CC"/>
    <w:rsid w:val="002243DF"/>
    <w:rsid w:val="00225177"/>
    <w:rsid w:val="002252AB"/>
    <w:rsid w:val="00225837"/>
    <w:rsid w:val="002264CF"/>
    <w:rsid w:val="00226FF3"/>
    <w:rsid w:val="00227647"/>
    <w:rsid w:val="00230522"/>
    <w:rsid w:val="00232A04"/>
    <w:rsid w:val="00232BDE"/>
    <w:rsid w:val="002331FE"/>
    <w:rsid w:val="002334B4"/>
    <w:rsid w:val="0023422E"/>
    <w:rsid w:val="00234969"/>
    <w:rsid w:val="0023591D"/>
    <w:rsid w:val="00236867"/>
    <w:rsid w:val="00236F6B"/>
    <w:rsid w:val="00240586"/>
    <w:rsid w:val="00241C79"/>
    <w:rsid w:val="00241F51"/>
    <w:rsid w:val="00242727"/>
    <w:rsid w:val="00243954"/>
    <w:rsid w:val="00244360"/>
    <w:rsid w:val="00245C53"/>
    <w:rsid w:val="00246696"/>
    <w:rsid w:val="002468DF"/>
    <w:rsid w:val="002473A6"/>
    <w:rsid w:val="00251DB1"/>
    <w:rsid w:val="00253B06"/>
    <w:rsid w:val="00254711"/>
    <w:rsid w:val="00256457"/>
    <w:rsid w:val="00256533"/>
    <w:rsid w:val="00256D13"/>
    <w:rsid w:val="002617F6"/>
    <w:rsid w:val="00261AEA"/>
    <w:rsid w:val="00262025"/>
    <w:rsid w:val="002625CE"/>
    <w:rsid w:val="0026340A"/>
    <w:rsid w:val="002634BF"/>
    <w:rsid w:val="002637E6"/>
    <w:rsid w:val="00265231"/>
    <w:rsid w:val="00265301"/>
    <w:rsid w:val="00265F92"/>
    <w:rsid w:val="002673B8"/>
    <w:rsid w:val="00273051"/>
    <w:rsid w:val="0027371A"/>
    <w:rsid w:val="002739EC"/>
    <w:rsid w:val="00274104"/>
    <w:rsid w:val="00274AED"/>
    <w:rsid w:val="00274FA0"/>
    <w:rsid w:val="002758EC"/>
    <w:rsid w:val="00281299"/>
    <w:rsid w:val="00281B44"/>
    <w:rsid w:val="002832F0"/>
    <w:rsid w:val="002833C4"/>
    <w:rsid w:val="00283838"/>
    <w:rsid w:val="00283A7C"/>
    <w:rsid w:val="002849F1"/>
    <w:rsid w:val="00284DD1"/>
    <w:rsid w:val="002857B6"/>
    <w:rsid w:val="00286988"/>
    <w:rsid w:val="00286DA4"/>
    <w:rsid w:val="00286DE0"/>
    <w:rsid w:val="00286FC2"/>
    <w:rsid w:val="00291746"/>
    <w:rsid w:val="00291D59"/>
    <w:rsid w:val="002921BB"/>
    <w:rsid w:val="00292D76"/>
    <w:rsid w:val="002939C2"/>
    <w:rsid w:val="00294770"/>
    <w:rsid w:val="00295468"/>
    <w:rsid w:val="00295CA4"/>
    <w:rsid w:val="00295F9D"/>
    <w:rsid w:val="00296380"/>
    <w:rsid w:val="00296F95"/>
    <w:rsid w:val="002A04E6"/>
    <w:rsid w:val="002A076E"/>
    <w:rsid w:val="002A16E7"/>
    <w:rsid w:val="002A4246"/>
    <w:rsid w:val="002A4876"/>
    <w:rsid w:val="002A7D76"/>
    <w:rsid w:val="002B2B24"/>
    <w:rsid w:val="002B2D2B"/>
    <w:rsid w:val="002B4CA6"/>
    <w:rsid w:val="002B4D52"/>
    <w:rsid w:val="002B67C9"/>
    <w:rsid w:val="002B79B8"/>
    <w:rsid w:val="002C0E41"/>
    <w:rsid w:val="002C545B"/>
    <w:rsid w:val="002C5D99"/>
    <w:rsid w:val="002C7238"/>
    <w:rsid w:val="002C7436"/>
    <w:rsid w:val="002D1865"/>
    <w:rsid w:val="002D1E8C"/>
    <w:rsid w:val="002D25BC"/>
    <w:rsid w:val="002D330D"/>
    <w:rsid w:val="002D3619"/>
    <w:rsid w:val="002D3DDF"/>
    <w:rsid w:val="002D5B95"/>
    <w:rsid w:val="002D5BF0"/>
    <w:rsid w:val="002D67D6"/>
    <w:rsid w:val="002D6E41"/>
    <w:rsid w:val="002D7CF4"/>
    <w:rsid w:val="002D7E42"/>
    <w:rsid w:val="002E0F9C"/>
    <w:rsid w:val="002E11A5"/>
    <w:rsid w:val="002E271D"/>
    <w:rsid w:val="002E4CC2"/>
    <w:rsid w:val="002E53F0"/>
    <w:rsid w:val="002E7EE9"/>
    <w:rsid w:val="002F0D27"/>
    <w:rsid w:val="002F31FA"/>
    <w:rsid w:val="002F47E2"/>
    <w:rsid w:val="002F4C87"/>
    <w:rsid w:val="002F4D4A"/>
    <w:rsid w:val="002F532C"/>
    <w:rsid w:val="002F62FA"/>
    <w:rsid w:val="002F6CA2"/>
    <w:rsid w:val="00301123"/>
    <w:rsid w:val="003031A5"/>
    <w:rsid w:val="00304913"/>
    <w:rsid w:val="00307FD9"/>
    <w:rsid w:val="003102EA"/>
    <w:rsid w:val="003113AA"/>
    <w:rsid w:val="003119ED"/>
    <w:rsid w:val="00311BDE"/>
    <w:rsid w:val="00312589"/>
    <w:rsid w:val="003126B3"/>
    <w:rsid w:val="0031406E"/>
    <w:rsid w:val="00315F72"/>
    <w:rsid w:val="00316E03"/>
    <w:rsid w:val="00317B50"/>
    <w:rsid w:val="00317D84"/>
    <w:rsid w:val="003203BF"/>
    <w:rsid w:val="003215DB"/>
    <w:rsid w:val="00321E0D"/>
    <w:rsid w:val="00323068"/>
    <w:rsid w:val="0032362A"/>
    <w:rsid w:val="00323BBD"/>
    <w:rsid w:val="00323C37"/>
    <w:rsid w:val="003243C5"/>
    <w:rsid w:val="00324A8E"/>
    <w:rsid w:val="00324C44"/>
    <w:rsid w:val="003257B9"/>
    <w:rsid w:val="00325EC7"/>
    <w:rsid w:val="00326221"/>
    <w:rsid w:val="003266BB"/>
    <w:rsid w:val="003268C9"/>
    <w:rsid w:val="00326DE7"/>
    <w:rsid w:val="00326F71"/>
    <w:rsid w:val="00330CA9"/>
    <w:rsid w:val="00331252"/>
    <w:rsid w:val="003314C4"/>
    <w:rsid w:val="00332945"/>
    <w:rsid w:val="00333FF5"/>
    <w:rsid w:val="00334B05"/>
    <w:rsid w:val="00337962"/>
    <w:rsid w:val="003417AD"/>
    <w:rsid w:val="00341AC2"/>
    <w:rsid w:val="00341FDA"/>
    <w:rsid w:val="003422F8"/>
    <w:rsid w:val="003432CC"/>
    <w:rsid w:val="003438F6"/>
    <w:rsid w:val="00343EA1"/>
    <w:rsid w:val="00344800"/>
    <w:rsid w:val="00345892"/>
    <w:rsid w:val="00345DFF"/>
    <w:rsid w:val="003503C0"/>
    <w:rsid w:val="0035042A"/>
    <w:rsid w:val="00350C62"/>
    <w:rsid w:val="0035105E"/>
    <w:rsid w:val="00352CA4"/>
    <w:rsid w:val="003549FA"/>
    <w:rsid w:val="00355356"/>
    <w:rsid w:val="00356173"/>
    <w:rsid w:val="00356A4A"/>
    <w:rsid w:val="003571AD"/>
    <w:rsid w:val="00357287"/>
    <w:rsid w:val="003575D1"/>
    <w:rsid w:val="00360BAC"/>
    <w:rsid w:val="00363B26"/>
    <w:rsid w:val="00363ECC"/>
    <w:rsid w:val="003644A4"/>
    <w:rsid w:val="003648BE"/>
    <w:rsid w:val="003651A8"/>
    <w:rsid w:val="00367435"/>
    <w:rsid w:val="00371E32"/>
    <w:rsid w:val="00372DDB"/>
    <w:rsid w:val="00372F3F"/>
    <w:rsid w:val="00373C1A"/>
    <w:rsid w:val="00373F94"/>
    <w:rsid w:val="003746D4"/>
    <w:rsid w:val="00376248"/>
    <w:rsid w:val="003771D6"/>
    <w:rsid w:val="00377A91"/>
    <w:rsid w:val="00380364"/>
    <w:rsid w:val="003805DD"/>
    <w:rsid w:val="00380954"/>
    <w:rsid w:val="00383203"/>
    <w:rsid w:val="00383886"/>
    <w:rsid w:val="0038459F"/>
    <w:rsid w:val="00385076"/>
    <w:rsid w:val="00390CCE"/>
    <w:rsid w:val="00391B9F"/>
    <w:rsid w:val="00392B9E"/>
    <w:rsid w:val="00394F8F"/>
    <w:rsid w:val="003953A9"/>
    <w:rsid w:val="00395590"/>
    <w:rsid w:val="00396C6F"/>
    <w:rsid w:val="003A069B"/>
    <w:rsid w:val="003A2955"/>
    <w:rsid w:val="003A33E5"/>
    <w:rsid w:val="003A4242"/>
    <w:rsid w:val="003A4B79"/>
    <w:rsid w:val="003A53E9"/>
    <w:rsid w:val="003A5493"/>
    <w:rsid w:val="003A6B17"/>
    <w:rsid w:val="003A7315"/>
    <w:rsid w:val="003A765A"/>
    <w:rsid w:val="003A7D23"/>
    <w:rsid w:val="003B0C74"/>
    <w:rsid w:val="003B0ECC"/>
    <w:rsid w:val="003B115A"/>
    <w:rsid w:val="003B3853"/>
    <w:rsid w:val="003B4DFF"/>
    <w:rsid w:val="003B7C6B"/>
    <w:rsid w:val="003C077E"/>
    <w:rsid w:val="003C18C7"/>
    <w:rsid w:val="003C231E"/>
    <w:rsid w:val="003C3ED5"/>
    <w:rsid w:val="003C40A6"/>
    <w:rsid w:val="003C4B46"/>
    <w:rsid w:val="003D0018"/>
    <w:rsid w:val="003D0F8B"/>
    <w:rsid w:val="003D1EB7"/>
    <w:rsid w:val="003D2F66"/>
    <w:rsid w:val="003D356A"/>
    <w:rsid w:val="003D4CE4"/>
    <w:rsid w:val="003D7830"/>
    <w:rsid w:val="003D7C34"/>
    <w:rsid w:val="003D7F1F"/>
    <w:rsid w:val="003E0B0A"/>
    <w:rsid w:val="003E0EEF"/>
    <w:rsid w:val="003E2392"/>
    <w:rsid w:val="003E2789"/>
    <w:rsid w:val="003E2CDF"/>
    <w:rsid w:val="003E2F58"/>
    <w:rsid w:val="003E2FA5"/>
    <w:rsid w:val="003E3061"/>
    <w:rsid w:val="003E4006"/>
    <w:rsid w:val="003E48BB"/>
    <w:rsid w:val="003E5918"/>
    <w:rsid w:val="003E5A16"/>
    <w:rsid w:val="003E5B55"/>
    <w:rsid w:val="003E656A"/>
    <w:rsid w:val="003E6888"/>
    <w:rsid w:val="003E695E"/>
    <w:rsid w:val="003E6C77"/>
    <w:rsid w:val="003E7D90"/>
    <w:rsid w:val="003F14A9"/>
    <w:rsid w:val="003F2090"/>
    <w:rsid w:val="003F233B"/>
    <w:rsid w:val="003F2941"/>
    <w:rsid w:val="003F3134"/>
    <w:rsid w:val="003F352E"/>
    <w:rsid w:val="003F4820"/>
    <w:rsid w:val="003F5D51"/>
    <w:rsid w:val="003F7761"/>
    <w:rsid w:val="00400D9B"/>
    <w:rsid w:val="00401398"/>
    <w:rsid w:val="004037D7"/>
    <w:rsid w:val="00403965"/>
    <w:rsid w:val="00404543"/>
    <w:rsid w:val="00405713"/>
    <w:rsid w:val="00406025"/>
    <w:rsid w:val="00411121"/>
    <w:rsid w:val="00413346"/>
    <w:rsid w:val="00413883"/>
    <w:rsid w:val="00414254"/>
    <w:rsid w:val="00414353"/>
    <w:rsid w:val="00414975"/>
    <w:rsid w:val="004160ED"/>
    <w:rsid w:val="00416D35"/>
    <w:rsid w:val="00416EFA"/>
    <w:rsid w:val="0042013F"/>
    <w:rsid w:val="0042086E"/>
    <w:rsid w:val="004209C6"/>
    <w:rsid w:val="00420E20"/>
    <w:rsid w:val="004212A0"/>
    <w:rsid w:val="004214A4"/>
    <w:rsid w:val="004229C4"/>
    <w:rsid w:val="00422B98"/>
    <w:rsid w:val="0042314D"/>
    <w:rsid w:val="00423B85"/>
    <w:rsid w:val="004245F1"/>
    <w:rsid w:val="00425650"/>
    <w:rsid w:val="00425B63"/>
    <w:rsid w:val="00427058"/>
    <w:rsid w:val="0042745D"/>
    <w:rsid w:val="00427575"/>
    <w:rsid w:val="0043123C"/>
    <w:rsid w:val="00431E4C"/>
    <w:rsid w:val="00431F13"/>
    <w:rsid w:val="00433C6A"/>
    <w:rsid w:val="00434F25"/>
    <w:rsid w:val="0043525E"/>
    <w:rsid w:val="004352A5"/>
    <w:rsid w:val="0043667A"/>
    <w:rsid w:val="004401D4"/>
    <w:rsid w:val="00440427"/>
    <w:rsid w:val="00441184"/>
    <w:rsid w:val="00441C5A"/>
    <w:rsid w:val="00441E9E"/>
    <w:rsid w:val="004429B2"/>
    <w:rsid w:val="00444690"/>
    <w:rsid w:val="00445F88"/>
    <w:rsid w:val="00446C7D"/>
    <w:rsid w:val="00446E40"/>
    <w:rsid w:val="00447C85"/>
    <w:rsid w:val="004518CF"/>
    <w:rsid w:val="004518DB"/>
    <w:rsid w:val="00453043"/>
    <w:rsid w:val="0045331D"/>
    <w:rsid w:val="00454136"/>
    <w:rsid w:val="0045661A"/>
    <w:rsid w:val="00456FE0"/>
    <w:rsid w:val="00457325"/>
    <w:rsid w:val="00460D91"/>
    <w:rsid w:val="00462241"/>
    <w:rsid w:val="004630C2"/>
    <w:rsid w:val="0046492A"/>
    <w:rsid w:val="00466FFF"/>
    <w:rsid w:val="00467D1E"/>
    <w:rsid w:val="004701D7"/>
    <w:rsid w:val="00472D59"/>
    <w:rsid w:val="004748BE"/>
    <w:rsid w:val="00475380"/>
    <w:rsid w:val="00475E09"/>
    <w:rsid w:val="00476942"/>
    <w:rsid w:val="00476A14"/>
    <w:rsid w:val="00476DFF"/>
    <w:rsid w:val="004778D3"/>
    <w:rsid w:val="00482453"/>
    <w:rsid w:val="00482878"/>
    <w:rsid w:val="00483ADE"/>
    <w:rsid w:val="00484D47"/>
    <w:rsid w:val="00485DEF"/>
    <w:rsid w:val="004861B1"/>
    <w:rsid w:val="0048683A"/>
    <w:rsid w:val="00486993"/>
    <w:rsid w:val="00486A16"/>
    <w:rsid w:val="00490879"/>
    <w:rsid w:val="004908E2"/>
    <w:rsid w:val="00490EA1"/>
    <w:rsid w:val="00491816"/>
    <w:rsid w:val="00492761"/>
    <w:rsid w:val="00493280"/>
    <w:rsid w:val="0049387F"/>
    <w:rsid w:val="00493B94"/>
    <w:rsid w:val="0049421D"/>
    <w:rsid w:val="0049610C"/>
    <w:rsid w:val="004A155C"/>
    <w:rsid w:val="004A2925"/>
    <w:rsid w:val="004A3BFD"/>
    <w:rsid w:val="004A3F9A"/>
    <w:rsid w:val="004A6D24"/>
    <w:rsid w:val="004A6DC5"/>
    <w:rsid w:val="004A6E94"/>
    <w:rsid w:val="004B0583"/>
    <w:rsid w:val="004B122E"/>
    <w:rsid w:val="004B15F6"/>
    <w:rsid w:val="004B1F42"/>
    <w:rsid w:val="004B2DB7"/>
    <w:rsid w:val="004B3D1B"/>
    <w:rsid w:val="004B4DFE"/>
    <w:rsid w:val="004B6600"/>
    <w:rsid w:val="004B70A5"/>
    <w:rsid w:val="004B7CB4"/>
    <w:rsid w:val="004C16A5"/>
    <w:rsid w:val="004C18CF"/>
    <w:rsid w:val="004C1C62"/>
    <w:rsid w:val="004C2CDE"/>
    <w:rsid w:val="004C3117"/>
    <w:rsid w:val="004C418F"/>
    <w:rsid w:val="004C4455"/>
    <w:rsid w:val="004C5289"/>
    <w:rsid w:val="004C6EBD"/>
    <w:rsid w:val="004D03B0"/>
    <w:rsid w:val="004D0D60"/>
    <w:rsid w:val="004D3160"/>
    <w:rsid w:val="004D3C7D"/>
    <w:rsid w:val="004D3D08"/>
    <w:rsid w:val="004D45AE"/>
    <w:rsid w:val="004D4EAE"/>
    <w:rsid w:val="004D64EC"/>
    <w:rsid w:val="004D6B7F"/>
    <w:rsid w:val="004D6F97"/>
    <w:rsid w:val="004E09A7"/>
    <w:rsid w:val="004E0BF2"/>
    <w:rsid w:val="004E15B2"/>
    <w:rsid w:val="004E1FE7"/>
    <w:rsid w:val="004E2E4A"/>
    <w:rsid w:val="004E30DB"/>
    <w:rsid w:val="004E4A7A"/>
    <w:rsid w:val="004E4AF5"/>
    <w:rsid w:val="004E4B26"/>
    <w:rsid w:val="004E4C3E"/>
    <w:rsid w:val="004E606C"/>
    <w:rsid w:val="004E66BF"/>
    <w:rsid w:val="004E69D8"/>
    <w:rsid w:val="004E6D2A"/>
    <w:rsid w:val="004E6F80"/>
    <w:rsid w:val="004E79F1"/>
    <w:rsid w:val="004F0BA2"/>
    <w:rsid w:val="004F1590"/>
    <w:rsid w:val="004F40CC"/>
    <w:rsid w:val="004F6295"/>
    <w:rsid w:val="004F7BF0"/>
    <w:rsid w:val="0050001F"/>
    <w:rsid w:val="00500E58"/>
    <w:rsid w:val="00501758"/>
    <w:rsid w:val="00501800"/>
    <w:rsid w:val="00504495"/>
    <w:rsid w:val="005044A9"/>
    <w:rsid w:val="005061AE"/>
    <w:rsid w:val="005069A9"/>
    <w:rsid w:val="00510992"/>
    <w:rsid w:val="00514BC8"/>
    <w:rsid w:val="00514F1A"/>
    <w:rsid w:val="00515391"/>
    <w:rsid w:val="00517656"/>
    <w:rsid w:val="005202DB"/>
    <w:rsid w:val="00522742"/>
    <w:rsid w:val="00522C14"/>
    <w:rsid w:val="0052327D"/>
    <w:rsid w:val="00523B38"/>
    <w:rsid w:val="00525A55"/>
    <w:rsid w:val="00525B01"/>
    <w:rsid w:val="00526560"/>
    <w:rsid w:val="00531378"/>
    <w:rsid w:val="00531FA0"/>
    <w:rsid w:val="005320C1"/>
    <w:rsid w:val="00532139"/>
    <w:rsid w:val="0053273C"/>
    <w:rsid w:val="00533DFA"/>
    <w:rsid w:val="00536160"/>
    <w:rsid w:val="00536CF2"/>
    <w:rsid w:val="005371A3"/>
    <w:rsid w:val="00537328"/>
    <w:rsid w:val="00537ADE"/>
    <w:rsid w:val="00537B2F"/>
    <w:rsid w:val="00542AC3"/>
    <w:rsid w:val="00543634"/>
    <w:rsid w:val="0054380D"/>
    <w:rsid w:val="005438B3"/>
    <w:rsid w:val="005439E1"/>
    <w:rsid w:val="0054414B"/>
    <w:rsid w:val="00544832"/>
    <w:rsid w:val="00545AA5"/>
    <w:rsid w:val="0054734E"/>
    <w:rsid w:val="0054782B"/>
    <w:rsid w:val="00547E6E"/>
    <w:rsid w:val="005505F9"/>
    <w:rsid w:val="0055116F"/>
    <w:rsid w:val="00553123"/>
    <w:rsid w:val="0055428C"/>
    <w:rsid w:val="0055657B"/>
    <w:rsid w:val="00556FFB"/>
    <w:rsid w:val="00561705"/>
    <w:rsid w:val="00562957"/>
    <w:rsid w:val="00562B19"/>
    <w:rsid w:val="005635CC"/>
    <w:rsid w:val="005647C0"/>
    <w:rsid w:val="00564A31"/>
    <w:rsid w:val="00566959"/>
    <w:rsid w:val="00570DC7"/>
    <w:rsid w:val="00570E80"/>
    <w:rsid w:val="005711F9"/>
    <w:rsid w:val="005727B1"/>
    <w:rsid w:val="0057298E"/>
    <w:rsid w:val="00572D8C"/>
    <w:rsid w:val="005732FB"/>
    <w:rsid w:val="00573629"/>
    <w:rsid w:val="005740DD"/>
    <w:rsid w:val="005747C2"/>
    <w:rsid w:val="0057530D"/>
    <w:rsid w:val="00575B08"/>
    <w:rsid w:val="00580F40"/>
    <w:rsid w:val="00581F68"/>
    <w:rsid w:val="005838C5"/>
    <w:rsid w:val="00584370"/>
    <w:rsid w:val="00584EB9"/>
    <w:rsid w:val="005852F3"/>
    <w:rsid w:val="005863B2"/>
    <w:rsid w:val="00587CE3"/>
    <w:rsid w:val="00591CE5"/>
    <w:rsid w:val="005920D9"/>
    <w:rsid w:val="0059217F"/>
    <w:rsid w:val="005934AE"/>
    <w:rsid w:val="005939DB"/>
    <w:rsid w:val="005944F6"/>
    <w:rsid w:val="00594BBC"/>
    <w:rsid w:val="00596143"/>
    <w:rsid w:val="005968E1"/>
    <w:rsid w:val="005972B5"/>
    <w:rsid w:val="005973FC"/>
    <w:rsid w:val="00597608"/>
    <w:rsid w:val="00597DA2"/>
    <w:rsid w:val="005A01CB"/>
    <w:rsid w:val="005A09CA"/>
    <w:rsid w:val="005A0E75"/>
    <w:rsid w:val="005A1611"/>
    <w:rsid w:val="005A2405"/>
    <w:rsid w:val="005A4DC0"/>
    <w:rsid w:val="005A5428"/>
    <w:rsid w:val="005A55B3"/>
    <w:rsid w:val="005A572D"/>
    <w:rsid w:val="005A58EB"/>
    <w:rsid w:val="005A5C05"/>
    <w:rsid w:val="005A5C8D"/>
    <w:rsid w:val="005A608A"/>
    <w:rsid w:val="005A6733"/>
    <w:rsid w:val="005A6E2A"/>
    <w:rsid w:val="005A7AEC"/>
    <w:rsid w:val="005B0346"/>
    <w:rsid w:val="005B065F"/>
    <w:rsid w:val="005B23CA"/>
    <w:rsid w:val="005B2862"/>
    <w:rsid w:val="005B3256"/>
    <w:rsid w:val="005B3636"/>
    <w:rsid w:val="005B3C4F"/>
    <w:rsid w:val="005B3D30"/>
    <w:rsid w:val="005B633B"/>
    <w:rsid w:val="005B6386"/>
    <w:rsid w:val="005B7449"/>
    <w:rsid w:val="005C0A02"/>
    <w:rsid w:val="005C0F65"/>
    <w:rsid w:val="005C1701"/>
    <w:rsid w:val="005C1847"/>
    <w:rsid w:val="005C2606"/>
    <w:rsid w:val="005C4E9D"/>
    <w:rsid w:val="005C6863"/>
    <w:rsid w:val="005D0483"/>
    <w:rsid w:val="005D055F"/>
    <w:rsid w:val="005D2C54"/>
    <w:rsid w:val="005D2FB5"/>
    <w:rsid w:val="005D3477"/>
    <w:rsid w:val="005D396A"/>
    <w:rsid w:val="005D48F9"/>
    <w:rsid w:val="005D4CB3"/>
    <w:rsid w:val="005D5AA3"/>
    <w:rsid w:val="005D630E"/>
    <w:rsid w:val="005D7C65"/>
    <w:rsid w:val="005E144B"/>
    <w:rsid w:val="005E3647"/>
    <w:rsid w:val="005E3C2F"/>
    <w:rsid w:val="005E484D"/>
    <w:rsid w:val="005E49FB"/>
    <w:rsid w:val="005E7900"/>
    <w:rsid w:val="005F03E0"/>
    <w:rsid w:val="005F14AB"/>
    <w:rsid w:val="005F18B8"/>
    <w:rsid w:val="005F2128"/>
    <w:rsid w:val="005F32C9"/>
    <w:rsid w:val="005F4FE7"/>
    <w:rsid w:val="006005F6"/>
    <w:rsid w:val="00601911"/>
    <w:rsid w:val="00601BD3"/>
    <w:rsid w:val="00601EB3"/>
    <w:rsid w:val="00602357"/>
    <w:rsid w:val="00603DC9"/>
    <w:rsid w:val="00604445"/>
    <w:rsid w:val="00605786"/>
    <w:rsid w:val="00605947"/>
    <w:rsid w:val="00610D9C"/>
    <w:rsid w:val="006125B9"/>
    <w:rsid w:val="00613126"/>
    <w:rsid w:val="006135F6"/>
    <w:rsid w:val="00613C6A"/>
    <w:rsid w:val="0061411C"/>
    <w:rsid w:val="0061492A"/>
    <w:rsid w:val="00615066"/>
    <w:rsid w:val="00616213"/>
    <w:rsid w:val="00616A01"/>
    <w:rsid w:val="00617125"/>
    <w:rsid w:val="006179BF"/>
    <w:rsid w:val="00617EA4"/>
    <w:rsid w:val="00620C32"/>
    <w:rsid w:val="00620FD2"/>
    <w:rsid w:val="00621641"/>
    <w:rsid w:val="0062210E"/>
    <w:rsid w:val="00623CEA"/>
    <w:rsid w:val="00624612"/>
    <w:rsid w:val="00624DBF"/>
    <w:rsid w:val="006265A7"/>
    <w:rsid w:val="006308D8"/>
    <w:rsid w:val="006314FB"/>
    <w:rsid w:val="00631B8C"/>
    <w:rsid w:val="00631BF2"/>
    <w:rsid w:val="00632FB3"/>
    <w:rsid w:val="00632FEF"/>
    <w:rsid w:val="006337AF"/>
    <w:rsid w:val="00634083"/>
    <w:rsid w:val="00634866"/>
    <w:rsid w:val="00634B09"/>
    <w:rsid w:val="00634F19"/>
    <w:rsid w:val="00635DEC"/>
    <w:rsid w:val="006365AE"/>
    <w:rsid w:val="00636C9D"/>
    <w:rsid w:val="006372B8"/>
    <w:rsid w:val="00640A29"/>
    <w:rsid w:val="00640DBD"/>
    <w:rsid w:val="006439AA"/>
    <w:rsid w:val="006451F0"/>
    <w:rsid w:val="006455AF"/>
    <w:rsid w:val="00645AC3"/>
    <w:rsid w:val="00645E53"/>
    <w:rsid w:val="00646317"/>
    <w:rsid w:val="00646831"/>
    <w:rsid w:val="00646899"/>
    <w:rsid w:val="00646BD4"/>
    <w:rsid w:val="00646C0E"/>
    <w:rsid w:val="00647179"/>
    <w:rsid w:val="006474C4"/>
    <w:rsid w:val="00647FA2"/>
    <w:rsid w:val="0065256F"/>
    <w:rsid w:val="00653CC7"/>
    <w:rsid w:val="00654841"/>
    <w:rsid w:val="00654A51"/>
    <w:rsid w:val="00654AD8"/>
    <w:rsid w:val="00654B70"/>
    <w:rsid w:val="006563D2"/>
    <w:rsid w:val="0066008E"/>
    <w:rsid w:val="006602A2"/>
    <w:rsid w:val="006651D1"/>
    <w:rsid w:val="00665425"/>
    <w:rsid w:val="006659E2"/>
    <w:rsid w:val="00665FAC"/>
    <w:rsid w:val="00670032"/>
    <w:rsid w:val="00670067"/>
    <w:rsid w:val="00671C73"/>
    <w:rsid w:val="00672A11"/>
    <w:rsid w:val="006730AD"/>
    <w:rsid w:val="00674050"/>
    <w:rsid w:val="006750D5"/>
    <w:rsid w:val="006766FE"/>
    <w:rsid w:val="0068086F"/>
    <w:rsid w:val="006816A3"/>
    <w:rsid w:val="00682385"/>
    <w:rsid w:val="006828F4"/>
    <w:rsid w:val="006837CA"/>
    <w:rsid w:val="006871B6"/>
    <w:rsid w:val="0069154F"/>
    <w:rsid w:val="00692EED"/>
    <w:rsid w:val="006959FC"/>
    <w:rsid w:val="0069623F"/>
    <w:rsid w:val="00696478"/>
    <w:rsid w:val="00697DD5"/>
    <w:rsid w:val="006A0112"/>
    <w:rsid w:val="006A0BED"/>
    <w:rsid w:val="006A0BF7"/>
    <w:rsid w:val="006A104E"/>
    <w:rsid w:val="006A1306"/>
    <w:rsid w:val="006A286B"/>
    <w:rsid w:val="006A3A6A"/>
    <w:rsid w:val="006A3FD2"/>
    <w:rsid w:val="006A4022"/>
    <w:rsid w:val="006A506A"/>
    <w:rsid w:val="006A768A"/>
    <w:rsid w:val="006A7ED3"/>
    <w:rsid w:val="006B0A73"/>
    <w:rsid w:val="006B11DE"/>
    <w:rsid w:val="006B1259"/>
    <w:rsid w:val="006B2ADC"/>
    <w:rsid w:val="006B3674"/>
    <w:rsid w:val="006B4DC7"/>
    <w:rsid w:val="006B71AF"/>
    <w:rsid w:val="006B7C8F"/>
    <w:rsid w:val="006C287A"/>
    <w:rsid w:val="006C412A"/>
    <w:rsid w:val="006C41F4"/>
    <w:rsid w:val="006C636D"/>
    <w:rsid w:val="006C6629"/>
    <w:rsid w:val="006C7D05"/>
    <w:rsid w:val="006D03C7"/>
    <w:rsid w:val="006D0493"/>
    <w:rsid w:val="006D1042"/>
    <w:rsid w:val="006D1C05"/>
    <w:rsid w:val="006D28D5"/>
    <w:rsid w:val="006D4500"/>
    <w:rsid w:val="006D539E"/>
    <w:rsid w:val="006D6B79"/>
    <w:rsid w:val="006E0A47"/>
    <w:rsid w:val="006E1A4F"/>
    <w:rsid w:val="006E4423"/>
    <w:rsid w:val="006E56BB"/>
    <w:rsid w:val="006E6F3E"/>
    <w:rsid w:val="006E7263"/>
    <w:rsid w:val="006E7688"/>
    <w:rsid w:val="006E7ABE"/>
    <w:rsid w:val="006F0772"/>
    <w:rsid w:val="006F42E0"/>
    <w:rsid w:val="006F4B28"/>
    <w:rsid w:val="006F599C"/>
    <w:rsid w:val="00700D16"/>
    <w:rsid w:val="00700DAB"/>
    <w:rsid w:val="0070176B"/>
    <w:rsid w:val="00701C02"/>
    <w:rsid w:val="00701CFC"/>
    <w:rsid w:val="00702453"/>
    <w:rsid w:val="007025E6"/>
    <w:rsid w:val="007026A8"/>
    <w:rsid w:val="00702C5E"/>
    <w:rsid w:val="00702DA2"/>
    <w:rsid w:val="00703497"/>
    <w:rsid w:val="00703705"/>
    <w:rsid w:val="007041DC"/>
    <w:rsid w:val="007050A5"/>
    <w:rsid w:val="007051BF"/>
    <w:rsid w:val="007056CC"/>
    <w:rsid w:val="0070679C"/>
    <w:rsid w:val="00707451"/>
    <w:rsid w:val="0071099C"/>
    <w:rsid w:val="00710E5E"/>
    <w:rsid w:val="0071184B"/>
    <w:rsid w:val="0071190B"/>
    <w:rsid w:val="007165D8"/>
    <w:rsid w:val="007206D9"/>
    <w:rsid w:val="007216A5"/>
    <w:rsid w:val="00721D66"/>
    <w:rsid w:val="0072452F"/>
    <w:rsid w:val="007251EE"/>
    <w:rsid w:val="0072669B"/>
    <w:rsid w:val="0072769E"/>
    <w:rsid w:val="00730A4B"/>
    <w:rsid w:val="00730E76"/>
    <w:rsid w:val="007328EA"/>
    <w:rsid w:val="007329A3"/>
    <w:rsid w:val="0073636D"/>
    <w:rsid w:val="007427AD"/>
    <w:rsid w:val="007432B3"/>
    <w:rsid w:val="00743D62"/>
    <w:rsid w:val="007465AA"/>
    <w:rsid w:val="00750595"/>
    <w:rsid w:val="007507BB"/>
    <w:rsid w:val="00750A48"/>
    <w:rsid w:val="007526D8"/>
    <w:rsid w:val="00752FA3"/>
    <w:rsid w:val="00753A3C"/>
    <w:rsid w:val="00756E55"/>
    <w:rsid w:val="007572C6"/>
    <w:rsid w:val="00757A0E"/>
    <w:rsid w:val="00757C98"/>
    <w:rsid w:val="00761A3C"/>
    <w:rsid w:val="00761A9E"/>
    <w:rsid w:val="007624B9"/>
    <w:rsid w:val="00762583"/>
    <w:rsid w:val="007632B6"/>
    <w:rsid w:val="00764071"/>
    <w:rsid w:val="00764317"/>
    <w:rsid w:val="00767BFE"/>
    <w:rsid w:val="00767D81"/>
    <w:rsid w:val="007716BD"/>
    <w:rsid w:val="007726FF"/>
    <w:rsid w:val="0077291F"/>
    <w:rsid w:val="0077372B"/>
    <w:rsid w:val="00773F87"/>
    <w:rsid w:val="00774183"/>
    <w:rsid w:val="00775759"/>
    <w:rsid w:val="00781055"/>
    <w:rsid w:val="007824C0"/>
    <w:rsid w:val="00782692"/>
    <w:rsid w:val="007832FE"/>
    <w:rsid w:val="00783BA1"/>
    <w:rsid w:val="00783CEF"/>
    <w:rsid w:val="00783D49"/>
    <w:rsid w:val="00784A23"/>
    <w:rsid w:val="007856C4"/>
    <w:rsid w:val="00786354"/>
    <w:rsid w:val="007874A9"/>
    <w:rsid w:val="0079131D"/>
    <w:rsid w:val="0079187A"/>
    <w:rsid w:val="007928A9"/>
    <w:rsid w:val="00792D18"/>
    <w:rsid w:val="00794525"/>
    <w:rsid w:val="00794AB7"/>
    <w:rsid w:val="00795C6E"/>
    <w:rsid w:val="00795E51"/>
    <w:rsid w:val="00796FEF"/>
    <w:rsid w:val="00797103"/>
    <w:rsid w:val="007A211B"/>
    <w:rsid w:val="007A34B7"/>
    <w:rsid w:val="007A4B35"/>
    <w:rsid w:val="007A5E2B"/>
    <w:rsid w:val="007A6D3C"/>
    <w:rsid w:val="007A7C1C"/>
    <w:rsid w:val="007A7DAC"/>
    <w:rsid w:val="007B0BE3"/>
    <w:rsid w:val="007B11D9"/>
    <w:rsid w:val="007B14CD"/>
    <w:rsid w:val="007B287F"/>
    <w:rsid w:val="007B29E7"/>
    <w:rsid w:val="007B3E71"/>
    <w:rsid w:val="007B44AE"/>
    <w:rsid w:val="007B5EC3"/>
    <w:rsid w:val="007B63B9"/>
    <w:rsid w:val="007B68BC"/>
    <w:rsid w:val="007C0AFE"/>
    <w:rsid w:val="007C10B6"/>
    <w:rsid w:val="007C36C7"/>
    <w:rsid w:val="007C3AE3"/>
    <w:rsid w:val="007C4512"/>
    <w:rsid w:val="007C5743"/>
    <w:rsid w:val="007C58D9"/>
    <w:rsid w:val="007C5A8D"/>
    <w:rsid w:val="007C5BDE"/>
    <w:rsid w:val="007C6C68"/>
    <w:rsid w:val="007D183A"/>
    <w:rsid w:val="007D2281"/>
    <w:rsid w:val="007D3967"/>
    <w:rsid w:val="007D41EF"/>
    <w:rsid w:val="007D49B2"/>
    <w:rsid w:val="007D6637"/>
    <w:rsid w:val="007E0DDE"/>
    <w:rsid w:val="007E265D"/>
    <w:rsid w:val="007E30DA"/>
    <w:rsid w:val="007E56BD"/>
    <w:rsid w:val="007E59B6"/>
    <w:rsid w:val="007E5F05"/>
    <w:rsid w:val="007E7134"/>
    <w:rsid w:val="007E7583"/>
    <w:rsid w:val="007E7F1B"/>
    <w:rsid w:val="007F1BA8"/>
    <w:rsid w:val="007F1F8F"/>
    <w:rsid w:val="007F254A"/>
    <w:rsid w:val="007F30C3"/>
    <w:rsid w:val="007F497C"/>
    <w:rsid w:val="007F5DD6"/>
    <w:rsid w:val="0080108F"/>
    <w:rsid w:val="0080166C"/>
    <w:rsid w:val="00801E4D"/>
    <w:rsid w:val="00802DA5"/>
    <w:rsid w:val="00803EFB"/>
    <w:rsid w:val="00804A37"/>
    <w:rsid w:val="00804C8F"/>
    <w:rsid w:val="00806082"/>
    <w:rsid w:val="00806C80"/>
    <w:rsid w:val="00810499"/>
    <w:rsid w:val="00811179"/>
    <w:rsid w:val="00812F2D"/>
    <w:rsid w:val="008138F1"/>
    <w:rsid w:val="00814CA9"/>
    <w:rsid w:val="0081506A"/>
    <w:rsid w:val="008150A5"/>
    <w:rsid w:val="00815E3E"/>
    <w:rsid w:val="00815F6D"/>
    <w:rsid w:val="00816354"/>
    <w:rsid w:val="0081655A"/>
    <w:rsid w:val="00816A59"/>
    <w:rsid w:val="00822056"/>
    <w:rsid w:val="00822C41"/>
    <w:rsid w:val="008242D3"/>
    <w:rsid w:val="008266A2"/>
    <w:rsid w:val="00826B54"/>
    <w:rsid w:val="00830256"/>
    <w:rsid w:val="00830BBC"/>
    <w:rsid w:val="00832D1A"/>
    <w:rsid w:val="00833269"/>
    <w:rsid w:val="008338BC"/>
    <w:rsid w:val="008344C5"/>
    <w:rsid w:val="00834D5A"/>
    <w:rsid w:val="0083572E"/>
    <w:rsid w:val="00836C69"/>
    <w:rsid w:val="00837137"/>
    <w:rsid w:val="008377DA"/>
    <w:rsid w:val="008378B3"/>
    <w:rsid w:val="00837E8D"/>
    <w:rsid w:val="008411E9"/>
    <w:rsid w:val="0084122D"/>
    <w:rsid w:val="00842335"/>
    <w:rsid w:val="00842EB1"/>
    <w:rsid w:val="008456CF"/>
    <w:rsid w:val="00846C27"/>
    <w:rsid w:val="00852D84"/>
    <w:rsid w:val="008535C3"/>
    <w:rsid w:val="008549E9"/>
    <w:rsid w:val="00855529"/>
    <w:rsid w:val="00856136"/>
    <w:rsid w:val="008562D1"/>
    <w:rsid w:val="008571EB"/>
    <w:rsid w:val="0085724C"/>
    <w:rsid w:val="00857805"/>
    <w:rsid w:val="00860C96"/>
    <w:rsid w:val="00860DC7"/>
    <w:rsid w:val="00862B6C"/>
    <w:rsid w:val="00863911"/>
    <w:rsid w:val="00864AF3"/>
    <w:rsid w:val="00864DFC"/>
    <w:rsid w:val="008659EF"/>
    <w:rsid w:val="00865C95"/>
    <w:rsid w:val="00865F75"/>
    <w:rsid w:val="00866481"/>
    <w:rsid w:val="00866F1E"/>
    <w:rsid w:val="00870620"/>
    <w:rsid w:val="0087284C"/>
    <w:rsid w:val="008730A4"/>
    <w:rsid w:val="00873187"/>
    <w:rsid w:val="008741AC"/>
    <w:rsid w:val="0087512B"/>
    <w:rsid w:val="00875395"/>
    <w:rsid w:val="008757DB"/>
    <w:rsid w:val="008759EF"/>
    <w:rsid w:val="00875F99"/>
    <w:rsid w:val="00876313"/>
    <w:rsid w:val="008768EF"/>
    <w:rsid w:val="00877A71"/>
    <w:rsid w:val="00877C26"/>
    <w:rsid w:val="0088030E"/>
    <w:rsid w:val="0088149B"/>
    <w:rsid w:val="0088149C"/>
    <w:rsid w:val="008824F3"/>
    <w:rsid w:val="00882898"/>
    <w:rsid w:val="00883470"/>
    <w:rsid w:val="008846DB"/>
    <w:rsid w:val="0088560E"/>
    <w:rsid w:val="008910DD"/>
    <w:rsid w:val="00892548"/>
    <w:rsid w:val="008938FB"/>
    <w:rsid w:val="00895CEB"/>
    <w:rsid w:val="008961C9"/>
    <w:rsid w:val="00896384"/>
    <w:rsid w:val="00896E3C"/>
    <w:rsid w:val="00896FDA"/>
    <w:rsid w:val="008A04C3"/>
    <w:rsid w:val="008A0683"/>
    <w:rsid w:val="008A07D1"/>
    <w:rsid w:val="008A0DB3"/>
    <w:rsid w:val="008A1ED9"/>
    <w:rsid w:val="008A25C0"/>
    <w:rsid w:val="008A38CD"/>
    <w:rsid w:val="008A51FC"/>
    <w:rsid w:val="008A5396"/>
    <w:rsid w:val="008A6759"/>
    <w:rsid w:val="008B3644"/>
    <w:rsid w:val="008B3920"/>
    <w:rsid w:val="008B4C82"/>
    <w:rsid w:val="008B4FEA"/>
    <w:rsid w:val="008B5299"/>
    <w:rsid w:val="008B5857"/>
    <w:rsid w:val="008B5B4A"/>
    <w:rsid w:val="008B6014"/>
    <w:rsid w:val="008B6D47"/>
    <w:rsid w:val="008C0044"/>
    <w:rsid w:val="008C0070"/>
    <w:rsid w:val="008C02BE"/>
    <w:rsid w:val="008C166E"/>
    <w:rsid w:val="008C23ED"/>
    <w:rsid w:val="008C2D8A"/>
    <w:rsid w:val="008C7C17"/>
    <w:rsid w:val="008C7D1B"/>
    <w:rsid w:val="008D0318"/>
    <w:rsid w:val="008D1C12"/>
    <w:rsid w:val="008D1C3D"/>
    <w:rsid w:val="008D2372"/>
    <w:rsid w:val="008D27A5"/>
    <w:rsid w:val="008D32B1"/>
    <w:rsid w:val="008D3A7C"/>
    <w:rsid w:val="008E119E"/>
    <w:rsid w:val="008E1D5A"/>
    <w:rsid w:val="008E2B36"/>
    <w:rsid w:val="008E2C25"/>
    <w:rsid w:val="008E332A"/>
    <w:rsid w:val="008E4510"/>
    <w:rsid w:val="008E531C"/>
    <w:rsid w:val="008E6568"/>
    <w:rsid w:val="008E6B80"/>
    <w:rsid w:val="008E7B28"/>
    <w:rsid w:val="008F3855"/>
    <w:rsid w:val="008F39B9"/>
    <w:rsid w:val="008F4A3D"/>
    <w:rsid w:val="008F4C69"/>
    <w:rsid w:val="008F63EF"/>
    <w:rsid w:val="008F6C45"/>
    <w:rsid w:val="00900122"/>
    <w:rsid w:val="00900669"/>
    <w:rsid w:val="00900C03"/>
    <w:rsid w:val="009012B6"/>
    <w:rsid w:val="009012C2"/>
    <w:rsid w:val="00901A6D"/>
    <w:rsid w:val="00903F00"/>
    <w:rsid w:val="00904F49"/>
    <w:rsid w:val="009051BB"/>
    <w:rsid w:val="00905A08"/>
    <w:rsid w:val="00905E45"/>
    <w:rsid w:val="0090630C"/>
    <w:rsid w:val="009069D3"/>
    <w:rsid w:val="00906C2D"/>
    <w:rsid w:val="009114D0"/>
    <w:rsid w:val="00914900"/>
    <w:rsid w:val="00914B1F"/>
    <w:rsid w:val="0091537A"/>
    <w:rsid w:val="0091567F"/>
    <w:rsid w:val="00916433"/>
    <w:rsid w:val="0091685E"/>
    <w:rsid w:val="00916EA1"/>
    <w:rsid w:val="00920143"/>
    <w:rsid w:val="00922324"/>
    <w:rsid w:val="0092268B"/>
    <w:rsid w:val="00922D85"/>
    <w:rsid w:val="00923412"/>
    <w:rsid w:val="00923D18"/>
    <w:rsid w:val="009256A7"/>
    <w:rsid w:val="0092610D"/>
    <w:rsid w:val="00926E2C"/>
    <w:rsid w:val="00930F48"/>
    <w:rsid w:val="009317A7"/>
    <w:rsid w:val="00932882"/>
    <w:rsid w:val="00932C32"/>
    <w:rsid w:val="00933B11"/>
    <w:rsid w:val="009343A4"/>
    <w:rsid w:val="00934754"/>
    <w:rsid w:val="00934FF7"/>
    <w:rsid w:val="0093611B"/>
    <w:rsid w:val="00936225"/>
    <w:rsid w:val="00936AE8"/>
    <w:rsid w:val="00936EC0"/>
    <w:rsid w:val="0093722B"/>
    <w:rsid w:val="00937C4D"/>
    <w:rsid w:val="00940556"/>
    <w:rsid w:val="00942642"/>
    <w:rsid w:val="0094298C"/>
    <w:rsid w:val="00943E58"/>
    <w:rsid w:val="0094452F"/>
    <w:rsid w:val="00944FB5"/>
    <w:rsid w:val="00945391"/>
    <w:rsid w:val="00945AF3"/>
    <w:rsid w:val="0095017A"/>
    <w:rsid w:val="009501C4"/>
    <w:rsid w:val="0095061B"/>
    <w:rsid w:val="00950AAC"/>
    <w:rsid w:val="009513B3"/>
    <w:rsid w:val="00953E27"/>
    <w:rsid w:val="0095417C"/>
    <w:rsid w:val="00954C86"/>
    <w:rsid w:val="00956CB2"/>
    <w:rsid w:val="009577F5"/>
    <w:rsid w:val="0096070D"/>
    <w:rsid w:val="00960ED6"/>
    <w:rsid w:val="0096228D"/>
    <w:rsid w:val="009627D9"/>
    <w:rsid w:val="0096369D"/>
    <w:rsid w:val="009638CE"/>
    <w:rsid w:val="009644F0"/>
    <w:rsid w:val="00964602"/>
    <w:rsid w:val="00964B12"/>
    <w:rsid w:val="00965371"/>
    <w:rsid w:val="009658F3"/>
    <w:rsid w:val="009677CA"/>
    <w:rsid w:val="00970BA3"/>
    <w:rsid w:val="00971312"/>
    <w:rsid w:val="00971B4A"/>
    <w:rsid w:val="0097225E"/>
    <w:rsid w:val="00972365"/>
    <w:rsid w:val="009725E8"/>
    <w:rsid w:val="00972908"/>
    <w:rsid w:val="00973293"/>
    <w:rsid w:val="00973677"/>
    <w:rsid w:val="00975DB8"/>
    <w:rsid w:val="00975DCA"/>
    <w:rsid w:val="00975E62"/>
    <w:rsid w:val="00976F61"/>
    <w:rsid w:val="00980461"/>
    <w:rsid w:val="009828AD"/>
    <w:rsid w:val="00982E5D"/>
    <w:rsid w:val="00985076"/>
    <w:rsid w:val="009875A7"/>
    <w:rsid w:val="009876B8"/>
    <w:rsid w:val="009877F0"/>
    <w:rsid w:val="009903AB"/>
    <w:rsid w:val="009907B0"/>
    <w:rsid w:val="00992CEB"/>
    <w:rsid w:val="009932FC"/>
    <w:rsid w:val="00993EC9"/>
    <w:rsid w:val="00994821"/>
    <w:rsid w:val="00994EC5"/>
    <w:rsid w:val="0099532F"/>
    <w:rsid w:val="0099615D"/>
    <w:rsid w:val="009A2DF0"/>
    <w:rsid w:val="009A49F6"/>
    <w:rsid w:val="009A5764"/>
    <w:rsid w:val="009A700A"/>
    <w:rsid w:val="009B0F38"/>
    <w:rsid w:val="009B19E8"/>
    <w:rsid w:val="009B3321"/>
    <w:rsid w:val="009B48C6"/>
    <w:rsid w:val="009B5118"/>
    <w:rsid w:val="009B5314"/>
    <w:rsid w:val="009B62FE"/>
    <w:rsid w:val="009C059B"/>
    <w:rsid w:val="009C0730"/>
    <w:rsid w:val="009C096D"/>
    <w:rsid w:val="009C2746"/>
    <w:rsid w:val="009C2851"/>
    <w:rsid w:val="009C380B"/>
    <w:rsid w:val="009C5A9C"/>
    <w:rsid w:val="009C6918"/>
    <w:rsid w:val="009C6C5E"/>
    <w:rsid w:val="009D21E6"/>
    <w:rsid w:val="009D3260"/>
    <w:rsid w:val="009D4645"/>
    <w:rsid w:val="009D4A5E"/>
    <w:rsid w:val="009D51E3"/>
    <w:rsid w:val="009D5AFB"/>
    <w:rsid w:val="009D66C2"/>
    <w:rsid w:val="009D79D5"/>
    <w:rsid w:val="009E0D3E"/>
    <w:rsid w:val="009E3951"/>
    <w:rsid w:val="009E4D50"/>
    <w:rsid w:val="009E6E91"/>
    <w:rsid w:val="009F0995"/>
    <w:rsid w:val="009F0D12"/>
    <w:rsid w:val="009F392A"/>
    <w:rsid w:val="009F3F6F"/>
    <w:rsid w:val="009F57C0"/>
    <w:rsid w:val="009F5ADE"/>
    <w:rsid w:val="009F5E1E"/>
    <w:rsid w:val="009F68B0"/>
    <w:rsid w:val="009F6CAB"/>
    <w:rsid w:val="009F74BC"/>
    <w:rsid w:val="00A0057E"/>
    <w:rsid w:val="00A01041"/>
    <w:rsid w:val="00A015B1"/>
    <w:rsid w:val="00A01D6F"/>
    <w:rsid w:val="00A02126"/>
    <w:rsid w:val="00A035CC"/>
    <w:rsid w:val="00A03E57"/>
    <w:rsid w:val="00A06194"/>
    <w:rsid w:val="00A06E57"/>
    <w:rsid w:val="00A0798F"/>
    <w:rsid w:val="00A1015A"/>
    <w:rsid w:val="00A108B1"/>
    <w:rsid w:val="00A11569"/>
    <w:rsid w:val="00A11D50"/>
    <w:rsid w:val="00A11F78"/>
    <w:rsid w:val="00A123A9"/>
    <w:rsid w:val="00A12558"/>
    <w:rsid w:val="00A12684"/>
    <w:rsid w:val="00A13710"/>
    <w:rsid w:val="00A14B59"/>
    <w:rsid w:val="00A16190"/>
    <w:rsid w:val="00A163B9"/>
    <w:rsid w:val="00A17106"/>
    <w:rsid w:val="00A17373"/>
    <w:rsid w:val="00A175F8"/>
    <w:rsid w:val="00A176E3"/>
    <w:rsid w:val="00A22349"/>
    <w:rsid w:val="00A23789"/>
    <w:rsid w:val="00A24100"/>
    <w:rsid w:val="00A24F03"/>
    <w:rsid w:val="00A24FFA"/>
    <w:rsid w:val="00A2791E"/>
    <w:rsid w:val="00A27935"/>
    <w:rsid w:val="00A27DF0"/>
    <w:rsid w:val="00A311F2"/>
    <w:rsid w:val="00A3125F"/>
    <w:rsid w:val="00A31902"/>
    <w:rsid w:val="00A31F1C"/>
    <w:rsid w:val="00A31FB7"/>
    <w:rsid w:val="00A321E5"/>
    <w:rsid w:val="00A33E27"/>
    <w:rsid w:val="00A33F4D"/>
    <w:rsid w:val="00A361FE"/>
    <w:rsid w:val="00A36ACC"/>
    <w:rsid w:val="00A37223"/>
    <w:rsid w:val="00A40C89"/>
    <w:rsid w:val="00A40D65"/>
    <w:rsid w:val="00A416D3"/>
    <w:rsid w:val="00A41A1B"/>
    <w:rsid w:val="00A41BA5"/>
    <w:rsid w:val="00A41BF6"/>
    <w:rsid w:val="00A431A8"/>
    <w:rsid w:val="00A43316"/>
    <w:rsid w:val="00A4589D"/>
    <w:rsid w:val="00A45BF1"/>
    <w:rsid w:val="00A45C40"/>
    <w:rsid w:val="00A4604E"/>
    <w:rsid w:val="00A46B63"/>
    <w:rsid w:val="00A50286"/>
    <w:rsid w:val="00A512E0"/>
    <w:rsid w:val="00A523CB"/>
    <w:rsid w:val="00A529CE"/>
    <w:rsid w:val="00A53192"/>
    <w:rsid w:val="00A533F9"/>
    <w:rsid w:val="00A53649"/>
    <w:rsid w:val="00A53D19"/>
    <w:rsid w:val="00A54CD2"/>
    <w:rsid w:val="00A54ECF"/>
    <w:rsid w:val="00A610CF"/>
    <w:rsid w:val="00A61EE2"/>
    <w:rsid w:val="00A63262"/>
    <w:rsid w:val="00A638EE"/>
    <w:rsid w:val="00A6390E"/>
    <w:rsid w:val="00A6451A"/>
    <w:rsid w:val="00A6481E"/>
    <w:rsid w:val="00A65332"/>
    <w:rsid w:val="00A66730"/>
    <w:rsid w:val="00A67883"/>
    <w:rsid w:val="00A70C69"/>
    <w:rsid w:val="00A71109"/>
    <w:rsid w:val="00A7309F"/>
    <w:rsid w:val="00A7348B"/>
    <w:rsid w:val="00A771ED"/>
    <w:rsid w:val="00A77391"/>
    <w:rsid w:val="00A80083"/>
    <w:rsid w:val="00A81B56"/>
    <w:rsid w:val="00A83903"/>
    <w:rsid w:val="00A8513F"/>
    <w:rsid w:val="00A853D9"/>
    <w:rsid w:val="00A8566D"/>
    <w:rsid w:val="00A85A0E"/>
    <w:rsid w:val="00A87BB0"/>
    <w:rsid w:val="00A90044"/>
    <w:rsid w:val="00A906A6"/>
    <w:rsid w:val="00A925D7"/>
    <w:rsid w:val="00A936E9"/>
    <w:rsid w:val="00A93982"/>
    <w:rsid w:val="00A94B39"/>
    <w:rsid w:val="00AA1055"/>
    <w:rsid w:val="00AA1698"/>
    <w:rsid w:val="00AA3DEE"/>
    <w:rsid w:val="00AA3EAF"/>
    <w:rsid w:val="00AA43F7"/>
    <w:rsid w:val="00AA46AF"/>
    <w:rsid w:val="00AA4EE6"/>
    <w:rsid w:val="00AA506D"/>
    <w:rsid w:val="00AA5072"/>
    <w:rsid w:val="00AA5122"/>
    <w:rsid w:val="00AA52BD"/>
    <w:rsid w:val="00AA534F"/>
    <w:rsid w:val="00AA6271"/>
    <w:rsid w:val="00AA68F6"/>
    <w:rsid w:val="00AA6D79"/>
    <w:rsid w:val="00AA781E"/>
    <w:rsid w:val="00AB08F6"/>
    <w:rsid w:val="00AB123D"/>
    <w:rsid w:val="00AB2767"/>
    <w:rsid w:val="00AB332A"/>
    <w:rsid w:val="00AB428E"/>
    <w:rsid w:val="00AB5931"/>
    <w:rsid w:val="00AB60E4"/>
    <w:rsid w:val="00AB7035"/>
    <w:rsid w:val="00AB7C8B"/>
    <w:rsid w:val="00AC1568"/>
    <w:rsid w:val="00AC23C8"/>
    <w:rsid w:val="00AC2847"/>
    <w:rsid w:val="00AC2D87"/>
    <w:rsid w:val="00AC4E9A"/>
    <w:rsid w:val="00AC57CE"/>
    <w:rsid w:val="00AC6261"/>
    <w:rsid w:val="00AC68B4"/>
    <w:rsid w:val="00AC7897"/>
    <w:rsid w:val="00AC7DEF"/>
    <w:rsid w:val="00AD1F6D"/>
    <w:rsid w:val="00AD2377"/>
    <w:rsid w:val="00AD2649"/>
    <w:rsid w:val="00AD298E"/>
    <w:rsid w:val="00AD338A"/>
    <w:rsid w:val="00AD38CA"/>
    <w:rsid w:val="00AD5470"/>
    <w:rsid w:val="00AD5DE8"/>
    <w:rsid w:val="00AD5DF7"/>
    <w:rsid w:val="00AD6039"/>
    <w:rsid w:val="00AD7B07"/>
    <w:rsid w:val="00AE0425"/>
    <w:rsid w:val="00AE1634"/>
    <w:rsid w:val="00AE1D61"/>
    <w:rsid w:val="00AE3600"/>
    <w:rsid w:val="00AE3DC3"/>
    <w:rsid w:val="00AE3EF7"/>
    <w:rsid w:val="00AE3FB8"/>
    <w:rsid w:val="00AE473F"/>
    <w:rsid w:val="00AE61F6"/>
    <w:rsid w:val="00AE6272"/>
    <w:rsid w:val="00AE6D86"/>
    <w:rsid w:val="00AF1BAF"/>
    <w:rsid w:val="00AF2915"/>
    <w:rsid w:val="00AF3C32"/>
    <w:rsid w:val="00AF4F50"/>
    <w:rsid w:val="00AF61FC"/>
    <w:rsid w:val="00AF630F"/>
    <w:rsid w:val="00AF6CB8"/>
    <w:rsid w:val="00AF7C64"/>
    <w:rsid w:val="00B00F68"/>
    <w:rsid w:val="00B010DF"/>
    <w:rsid w:val="00B01232"/>
    <w:rsid w:val="00B02206"/>
    <w:rsid w:val="00B031E3"/>
    <w:rsid w:val="00B032A1"/>
    <w:rsid w:val="00B03DD8"/>
    <w:rsid w:val="00B03E8D"/>
    <w:rsid w:val="00B03EE2"/>
    <w:rsid w:val="00B04E81"/>
    <w:rsid w:val="00B05FD4"/>
    <w:rsid w:val="00B06753"/>
    <w:rsid w:val="00B06799"/>
    <w:rsid w:val="00B073CC"/>
    <w:rsid w:val="00B07828"/>
    <w:rsid w:val="00B07FCE"/>
    <w:rsid w:val="00B11423"/>
    <w:rsid w:val="00B1215A"/>
    <w:rsid w:val="00B1453B"/>
    <w:rsid w:val="00B152B5"/>
    <w:rsid w:val="00B20434"/>
    <w:rsid w:val="00B20A32"/>
    <w:rsid w:val="00B215D5"/>
    <w:rsid w:val="00B22A12"/>
    <w:rsid w:val="00B22DBC"/>
    <w:rsid w:val="00B2400E"/>
    <w:rsid w:val="00B25156"/>
    <w:rsid w:val="00B27116"/>
    <w:rsid w:val="00B271CD"/>
    <w:rsid w:val="00B27FA4"/>
    <w:rsid w:val="00B30096"/>
    <w:rsid w:val="00B3130B"/>
    <w:rsid w:val="00B313C2"/>
    <w:rsid w:val="00B318FC"/>
    <w:rsid w:val="00B32045"/>
    <w:rsid w:val="00B32584"/>
    <w:rsid w:val="00B32BD8"/>
    <w:rsid w:val="00B33559"/>
    <w:rsid w:val="00B35084"/>
    <w:rsid w:val="00B35502"/>
    <w:rsid w:val="00B366F0"/>
    <w:rsid w:val="00B36C69"/>
    <w:rsid w:val="00B37820"/>
    <w:rsid w:val="00B3795B"/>
    <w:rsid w:val="00B40F28"/>
    <w:rsid w:val="00B414EF"/>
    <w:rsid w:val="00B429B1"/>
    <w:rsid w:val="00B45977"/>
    <w:rsid w:val="00B464D8"/>
    <w:rsid w:val="00B47663"/>
    <w:rsid w:val="00B476E3"/>
    <w:rsid w:val="00B50DBF"/>
    <w:rsid w:val="00B50FCA"/>
    <w:rsid w:val="00B52738"/>
    <w:rsid w:val="00B53E89"/>
    <w:rsid w:val="00B54FD1"/>
    <w:rsid w:val="00B55D70"/>
    <w:rsid w:val="00B56273"/>
    <w:rsid w:val="00B5681B"/>
    <w:rsid w:val="00B57C8E"/>
    <w:rsid w:val="00B60036"/>
    <w:rsid w:val="00B60A9C"/>
    <w:rsid w:val="00B60CC7"/>
    <w:rsid w:val="00B654E7"/>
    <w:rsid w:val="00B65AD6"/>
    <w:rsid w:val="00B65E63"/>
    <w:rsid w:val="00B671CE"/>
    <w:rsid w:val="00B678F0"/>
    <w:rsid w:val="00B6795B"/>
    <w:rsid w:val="00B700A1"/>
    <w:rsid w:val="00B70A10"/>
    <w:rsid w:val="00B70FD4"/>
    <w:rsid w:val="00B7101D"/>
    <w:rsid w:val="00B717DF"/>
    <w:rsid w:val="00B74664"/>
    <w:rsid w:val="00B74CAA"/>
    <w:rsid w:val="00B757F8"/>
    <w:rsid w:val="00B76032"/>
    <w:rsid w:val="00B76835"/>
    <w:rsid w:val="00B77711"/>
    <w:rsid w:val="00B7780E"/>
    <w:rsid w:val="00B77DEC"/>
    <w:rsid w:val="00B77F04"/>
    <w:rsid w:val="00B80266"/>
    <w:rsid w:val="00B819CE"/>
    <w:rsid w:val="00B81D3D"/>
    <w:rsid w:val="00B82931"/>
    <w:rsid w:val="00B839A9"/>
    <w:rsid w:val="00B84D44"/>
    <w:rsid w:val="00B85B0F"/>
    <w:rsid w:val="00B85F9F"/>
    <w:rsid w:val="00B87748"/>
    <w:rsid w:val="00B87C0D"/>
    <w:rsid w:val="00B946C0"/>
    <w:rsid w:val="00B94CFE"/>
    <w:rsid w:val="00B9521E"/>
    <w:rsid w:val="00B9569D"/>
    <w:rsid w:val="00B964F2"/>
    <w:rsid w:val="00B96553"/>
    <w:rsid w:val="00B97B50"/>
    <w:rsid w:val="00BA1093"/>
    <w:rsid w:val="00BA2245"/>
    <w:rsid w:val="00BA31C2"/>
    <w:rsid w:val="00BA4227"/>
    <w:rsid w:val="00BA544F"/>
    <w:rsid w:val="00BA591A"/>
    <w:rsid w:val="00BA5FBF"/>
    <w:rsid w:val="00BA6367"/>
    <w:rsid w:val="00BA647F"/>
    <w:rsid w:val="00BA6984"/>
    <w:rsid w:val="00BA6E91"/>
    <w:rsid w:val="00BA74D9"/>
    <w:rsid w:val="00BA7CD5"/>
    <w:rsid w:val="00BB0591"/>
    <w:rsid w:val="00BB0C9D"/>
    <w:rsid w:val="00BB0D43"/>
    <w:rsid w:val="00BB0D9B"/>
    <w:rsid w:val="00BB1278"/>
    <w:rsid w:val="00BB1EC8"/>
    <w:rsid w:val="00BB2415"/>
    <w:rsid w:val="00BB2F94"/>
    <w:rsid w:val="00BB513E"/>
    <w:rsid w:val="00BB5D70"/>
    <w:rsid w:val="00BC1866"/>
    <w:rsid w:val="00BC39E0"/>
    <w:rsid w:val="00BC68A6"/>
    <w:rsid w:val="00BC6D59"/>
    <w:rsid w:val="00BD20D6"/>
    <w:rsid w:val="00BD2293"/>
    <w:rsid w:val="00BD5A0A"/>
    <w:rsid w:val="00BD5C89"/>
    <w:rsid w:val="00BD5F0E"/>
    <w:rsid w:val="00BD610F"/>
    <w:rsid w:val="00BD6220"/>
    <w:rsid w:val="00BD654B"/>
    <w:rsid w:val="00BD7C68"/>
    <w:rsid w:val="00BE0229"/>
    <w:rsid w:val="00BE135D"/>
    <w:rsid w:val="00BE18A7"/>
    <w:rsid w:val="00BE3843"/>
    <w:rsid w:val="00BE4E22"/>
    <w:rsid w:val="00BE65B5"/>
    <w:rsid w:val="00BF02DB"/>
    <w:rsid w:val="00BF0FA3"/>
    <w:rsid w:val="00BF18E2"/>
    <w:rsid w:val="00BF28FB"/>
    <w:rsid w:val="00C01553"/>
    <w:rsid w:val="00C01BC8"/>
    <w:rsid w:val="00C02D10"/>
    <w:rsid w:val="00C0329E"/>
    <w:rsid w:val="00C03D61"/>
    <w:rsid w:val="00C045DA"/>
    <w:rsid w:val="00C0643E"/>
    <w:rsid w:val="00C0719E"/>
    <w:rsid w:val="00C0720F"/>
    <w:rsid w:val="00C073A8"/>
    <w:rsid w:val="00C076D9"/>
    <w:rsid w:val="00C104C5"/>
    <w:rsid w:val="00C11286"/>
    <w:rsid w:val="00C11764"/>
    <w:rsid w:val="00C11A96"/>
    <w:rsid w:val="00C14F88"/>
    <w:rsid w:val="00C167A4"/>
    <w:rsid w:val="00C171B9"/>
    <w:rsid w:val="00C20367"/>
    <w:rsid w:val="00C203C4"/>
    <w:rsid w:val="00C20959"/>
    <w:rsid w:val="00C20BF1"/>
    <w:rsid w:val="00C21182"/>
    <w:rsid w:val="00C211D2"/>
    <w:rsid w:val="00C22515"/>
    <w:rsid w:val="00C23C76"/>
    <w:rsid w:val="00C2446E"/>
    <w:rsid w:val="00C255C8"/>
    <w:rsid w:val="00C25970"/>
    <w:rsid w:val="00C269FC"/>
    <w:rsid w:val="00C26DCF"/>
    <w:rsid w:val="00C27705"/>
    <w:rsid w:val="00C27A1E"/>
    <w:rsid w:val="00C30BE6"/>
    <w:rsid w:val="00C31DDB"/>
    <w:rsid w:val="00C32604"/>
    <w:rsid w:val="00C328CD"/>
    <w:rsid w:val="00C32C15"/>
    <w:rsid w:val="00C32FA4"/>
    <w:rsid w:val="00C364FA"/>
    <w:rsid w:val="00C36E65"/>
    <w:rsid w:val="00C41445"/>
    <w:rsid w:val="00C417BF"/>
    <w:rsid w:val="00C418C1"/>
    <w:rsid w:val="00C41B09"/>
    <w:rsid w:val="00C42798"/>
    <w:rsid w:val="00C4348C"/>
    <w:rsid w:val="00C44311"/>
    <w:rsid w:val="00C447F8"/>
    <w:rsid w:val="00C45304"/>
    <w:rsid w:val="00C46E8E"/>
    <w:rsid w:val="00C500E7"/>
    <w:rsid w:val="00C52376"/>
    <w:rsid w:val="00C52B55"/>
    <w:rsid w:val="00C52F00"/>
    <w:rsid w:val="00C53148"/>
    <w:rsid w:val="00C53B6E"/>
    <w:rsid w:val="00C56BD0"/>
    <w:rsid w:val="00C57227"/>
    <w:rsid w:val="00C5757C"/>
    <w:rsid w:val="00C576C4"/>
    <w:rsid w:val="00C57862"/>
    <w:rsid w:val="00C60F12"/>
    <w:rsid w:val="00C617DE"/>
    <w:rsid w:val="00C61C53"/>
    <w:rsid w:val="00C62DE5"/>
    <w:rsid w:val="00C6382E"/>
    <w:rsid w:val="00C64205"/>
    <w:rsid w:val="00C647D2"/>
    <w:rsid w:val="00C66724"/>
    <w:rsid w:val="00C66FD6"/>
    <w:rsid w:val="00C700D9"/>
    <w:rsid w:val="00C709C5"/>
    <w:rsid w:val="00C7144D"/>
    <w:rsid w:val="00C71667"/>
    <w:rsid w:val="00C74586"/>
    <w:rsid w:val="00C74B34"/>
    <w:rsid w:val="00C773EE"/>
    <w:rsid w:val="00C7755C"/>
    <w:rsid w:val="00C82C7E"/>
    <w:rsid w:val="00C82CDB"/>
    <w:rsid w:val="00C83960"/>
    <w:rsid w:val="00C84520"/>
    <w:rsid w:val="00C8470F"/>
    <w:rsid w:val="00C84EE8"/>
    <w:rsid w:val="00C8660F"/>
    <w:rsid w:val="00C90E14"/>
    <w:rsid w:val="00C92F6F"/>
    <w:rsid w:val="00C939CC"/>
    <w:rsid w:val="00C9434E"/>
    <w:rsid w:val="00C95492"/>
    <w:rsid w:val="00C956B9"/>
    <w:rsid w:val="00C96081"/>
    <w:rsid w:val="00C961B9"/>
    <w:rsid w:val="00CA0B7A"/>
    <w:rsid w:val="00CA2141"/>
    <w:rsid w:val="00CA283B"/>
    <w:rsid w:val="00CA3AE7"/>
    <w:rsid w:val="00CA5330"/>
    <w:rsid w:val="00CA5765"/>
    <w:rsid w:val="00CA6FDF"/>
    <w:rsid w:val="00CA7F3F"/>
    <w:rsid w:val="00CB2D7B"/>
    <w:rsid w:val="00CB360C"/>
    <w:rsid w:val="00CB36B5"/>
    <w:rsid w:val="00CB403B"/>
    <w:rsid w:val="00CB43E0"/>
    <w:rsid w:val="00CB4DE1"/>
    <w:rsid w:val="00CB5D41"/>
    <w:rsid w:val="00CC0799"/>
    <w:rsid w:val="00CC130A"/>
    <w:rsid w:val="00CC1E3A"/>
    <w:rsid w:val="00CC400B"/>
    <w:rsid w:val="00CC61D6"/>
    <w:rsid w:val="00CC6486"/>
    <w:rsid w:val="00CC744D"/>
    <w:rsid w:val="00CC7EBF"/>
    <w:rsid w:val="00CD162D"/>
    <w:rsid w:val="00CD2A3B"/>
    <w:rsid w:val="00CD4C46"/>
    <w:rsid w:val="00CD57F7"/>
    <w:rsid w:val="00CD609B"/>
    <w:rsid w:val="00CE068F"/>
    <w:rsid w:val="00CE1139"/>
    <w:rsid w:val="00CE128C"/>
    <w:rsid w:val="00CE130C"/>
    <w:rsid w:val="00CE23A2"/>
    <w:rsid w:val="00CE2572"/>
    <w:rsid w:val="00CE33D9"/>
    <w:rsid w:val="00CE35A1"/>
    <w:rsid w:val="00CE472F"/>
    <w:rsid w:val="00CE4BF3"/>
    <w:rsid w:val="00CE4D0B"/>
    <w:rsid w:val="00CE50FA"/>
    <w:rsid w:val="00CE537B"/>
    <w:rsid w:val="00CE5ACE"/>
    <w:rsid w:val="00CE5ED3"/>
    <w:rsid w:val="00CE6164"/>
    <w:rsid w:val="00CE6641"/>
    <w:rsid w:val="00CE6AFF"/>
    <w:rsid w:val="00CE746D"/>
    <w:rsid w:val="00CF02CC"/>
    <w:rsid w:val="00CF0696"/>
    <w:rsid w:val="00CF1BAF"/>
    <w:rsid w:val="00CF1FBC"/>
    <w:rsid w:val="00CF2852"/>
    <w:rsid w:val="00CF286A"/>
    <w:rsid w:val="00CF3213"/>
    <w:rsid w:val="00CF686C"/>
    <w:rsid w:val="00CF6EC7"/>
    <w:rsid w:val="00CF787B"/>
    <w:rsid w:val="00CF7EF3"/>
    <w:rsid w:val="00D016BA"/>
    <w:rsid w:val="00D02F8D"/>
    <w:rsid w:val="00D0330A"/>
    <w:rsid w:val="00D03E3B"/>
    <w:rsid w:val="00D0472B"/>
    <w:rsid w:val="00D0506A"/>
    <w:rsid w:val="00D05143"/>
    <w:rsid w:val="00D052B9"/>
    <w:rsid w:val="00D055A2"/>
    <w:rsid w:val="00D05912"/>
    <w:rsid w:val="00D05BFC"/>
    <w:rsid w:val="00D05ECB"/>
    <w:rsid w:val="00D06840"/>
    <w:rsid w:val="00D07D7E"/>
    <w:rsid w:val="00D103E5"/>
    <w:rsid w:val="00D10F97"/>
    <w:rsid w:val="00D1119D"/>
    <w:rsid w:val="00D12E2E"/>
    <w:rsid w:val="00D142D0"/>
    <w:rsid w:val="00D15F60"/>
    <w:rsid w:val="00D17176"/>
    <w:rsid w:val="00D17DA9"/>
    <w:rsid w:val="00D20846"/>
    <w:rsid w:val="00D24A1C"/>
    <w:rsid w:val="00D24D0F"/>
    <w:rsid w:val="00D2554C"/>
    <w:rsid w:val="00D25857"/>
    <w:rsid w:val="00D26D87"/>
    <w:rsid w:val="00D278C0"/>
    <w:rsid w:val="00D27916"/>
    <w:rsid w:val="00D279F5"/>
    <w:rsid w:val="00D27A00"/>
    <w:rsid w:val="00D30794"/>
    <w:rsid w:val="00D3089F"/>
    <w:rsid w:val="00D30D9F"/>
    <w:rsid w:val="00D316E0"/>
    <w:rsid w:val="00D32166"/>
    <w:rsid w:val="00D328BD"/>
    <w:rsid w:val="00D3483F"/>
    <w:rsid w:val="00D35698"/>
    <w:rsid w:val="00D35BB7"/>
    <w:rsid w:val="00D36891"/>
    <w:rsid w:val="00D36A27"/>
    <w:rsid w:val="00D40589"/>
    <w:rsid w:val="00D40666"/>
    <w:rsid w:val="00D40A18"/>
    <w:rsid w:val="00D40B37"/>
    <w:rsid w:val="00D42A97"/>
    <w:rsid w:val="00D43BDF"/>
    <w:rsid w:val="00D44AFE"/>
    <w:rsid w:val="00D452B8"/>
    <w:rsid w:val="00D45A85"/>
    <w:rsid w:val="00D46BD4"/>
    <w:rsid w:val="00D46D84"/>
    <w:rsid w:val="00D4707E"/>
    <w:rsid w:val="00D50B2A"/>
    <w:rsid w:val="00D50B82"/>
    <w:rsid w:val="00D51169"/>
    <w:rsid w:val="00D5268A"/>
    <w:rsid w:val="00D5331D"/>
    <w:rsid w:val="00D53A27"/>
    <w:rsid w:val="00D53CD3"/>
    <w:rsid w:val="00D540AB"/>
    <w:rsid w:val="00D54135"/>
    <w:rsid w:val="00D54DCA"/>
    <w:rsid w:val="00D54E90"/>
    <w:rsid w:val="00D561FA"/>
    <w:rsid w:val="00D5679A"/>
    <w:rsid w:val="00D567D2"/>
    <w:rsid w:val="00D57296"/>
    <w:rsid w:val="00D572F1"/>
    <w:rsid w:val="00D57792"/>
    <w:rsid w:val="00D62910"/>
    <w:rsid w:val="00D63B18"/>
    <w:rsid w:val="00D648EF"/>
    <w:rsid w:val="00D65542"/>
    <w:rsid w:val="00D6577E"/>
    <w:rsid w:val="00D65889"/>
    <w:rsid w:val="00D65F87"/>
    <w:rsid w:val="00D66926"/>
    <w:rsid w:val="00D675EB"/>
    <w:rsid w:val="00D679DB"/>
    <w:rsid w:val="00D702EF"/>
    <w:rsid w:val="00D70A34"/>
    <w:rsid w:val="00D72538"/>
    <w:rsid w:val="00D7258F"/>
    <w:rsid w:val="00D7259C"/>
    <w:rsid w:val="00D730F1"/>
    <w:rsid w:val="00D731E3"/>
    <w:rsid w:val="00D73643"/>
    <w:rsid w:val="00D75090"/>
    <w:rsid w:val="00D76310"/>
    <w:rsid w:val="00D77CEF"/>
    <w:rsid w:val="00D80284"/>
    <w:rsid w:val="00D80849"/>
    <w:rsid w:val="00D80A7E"/>
    <w:rsid w:val="00D81111"/>
    <w:rsid w:val="00D8257D"/>
    <w:rsid w:val="00D836CA"/>
    <w:rsid w:val="00D840A1"/>
    <w:rsid w:val="00D85929"/>
    <w:rsid w:val="00D86126"/>
    <w:rsid w:val="00D87399"/>
    <w:rsid w:val="00D90F7B"/>
    <w:rsid w:val="00D914E6"/>
    <w:rsid w:val="00D923B1"/>
    <w:rsid w:val="00D92A8D"/>
    <w:rsid w:val="00D92D7A"/>
    <w:rsid w:val="00D934F6"/>
    <w:rsid w:val="00D9382B"/>
    <w:rsid w:val="00D9695E"/>
    <w:rsid w:val="00D97487"/>
    <w:rsid w:val="00DA05C1"/>
    <w:rsid w:val="00DA34AF"/>
    <w:rsid w:val="00DA3739"/>
    <w:rsid w:val="00DA5B8B"/>
    <w:rsid w:val="00DA6887"/>
    <w:rsid w:val="00DB0496"/>
    <w:rsid w:val="00DB0AE2"/>
    <w:rsid w:val="00DB0CB8"/>
    <w:rsid w:val="00DB1EAC"/>
    <w:rsid w:val="00DB2B00"/>
    <w:rsid w:val="00DB3600"/>
    <w:rsid w:val="00DB3D63"/>
    <w:rsid w:val="00DB4B4B"/>
    <w:rsid w:val="00DB58BE"/>
    <w:rsid w:val="00DB5CF9"/>
    <w:rsid w:val="00DB64B1"/>
    <w:rsid w:val="00DC003D"/>
    <w:rsid w:val="00DC0995"/>
    <w:rsid w:val="00DC25C2"/>
    <w:rsid w:val="00DC2B5C"/>
    <w:rsid w:val="00DC30E2"/>
    <w:rsid w:val="00DC3164"/>
    <w:rsid w:val="00DC5239"/>
    <w:rsid w:val="00DC53CD"/>
    <w:rsid w:val="00DC64B2"/>
    <w:rsid w:val="00DC6BB6"/>
    <w:rsid w:val="00DC76E4"/>
    <w:rsid w:val="00DD09F5"/>
    <w:rsid w:val="00DD13B1"/>
    <w:rsid w:val="00DD1500"/>
    <w:rsid w:val="00DD3857"/>
    <w:rsid w:val="00DD4A0D"/>
    <w:rsid w:val="00DD4E08"/>
    <w:rsid w:val="00DD55F7"/>
    <w:rsid w:val="00DD6182"/>
    <w:rsid w:val="00DE0544"/>
    <w:rsid w:val="00DE3CA9"/>
    <w:rsid w:val="00DE4C8D"/>
    <w:rsid w:val="00DE5D84"/>
    <w:rsid w:val="00DF0EC0"/>
    <w:rsid w:val="00DF1527"/>
    <w:rsid w:val="00DF1EDA"/>
    <w:rsid w:val="00DF1FEB"/>
    <w:rsid w:val="00DF338D"/>
    <w:rsid w:val="00DF6E6A"/>
    <w:rsid w:val="00DF7362"/>
    <w:rsid w:val="00E00B50"/>
    <w:rsid w:val="00E02A5C"/>
    <w:rsid w:val="00E034C7"/>
    <w:rsid w:val="00E0564D"/>
    <w:rsid w:val="00E0591F"/>
    <w:rsid w:val="00E06F81"/>
    <w:rsid w:val="00E1100B"/>
    <w:rsid w:val="00E111F8"/>
    <w:rsid w:val="00E133CD"/>
    <w:rsid w:val="00E137B3"/>
    <w:rsid w:val="00E138AD"/>
    <w:rsid w:val="00E14FBA"/>
    <w:rsid w:val="00E16082"/>
    <w:rsid w:val="00E165F9"/>
    <w:rsid w:val="00E17A97"/>
    <w:rsid w:val="00E209FD"/>
    <w:rsid w:val="00E20C5F"/>
    <w:rsid w:val="00E20D13"/>
    <w:rsid w:val="00E21064"/>
    <w:rsid w:val="00E2361A"/>
    <w:rsid w:val="00E2417F"/>
    <w:rsid w:val="00E24C81"/>
    <w:rsid w:val="00E25BBC"/>
    <w:rsid w:val="00E31F43"/>
    <w:rsid w:val="00E325DE"/>
    <w:rsid w:val="00E33680"/>
    <w:rsid w:val="00E33C61"/>
    <w:rsid w:val="00E33FF6"/>
    <w:rsid w:val="00E342C4"/>
    <w:rsid w:val="00E346CA"/>
    <w:rsid w:val="00E34A6E"/>
    <w:rsid w:val="00E34F9E"/>
    <w:rsid w:val="00E358B8"/>
    <w:rsid w:val="00E36687"/>
    <w:rsid w:val="00E37104"/>
    <w:rsid w:val="00E372A3"/>
    <w:rsid w:val="00E43C82"/>
    <w:rsid w:val="00E45886"/>
    <w:rsid w:val="00E4594D"/>
    <w:rsid w:val="00E4642A"/>
    <w:rsid w:val="00E46E9C"/>
    <w:rsid w:val="00E4722E"/>
    <w:rsid w:val="00E47646"/>
    <w:rsid w:val="00E477CE"/>
    <w:rsid w:val="00E47804"/>
    <w:rsid w:val="00E47C07"/>
    <w:rsid w:val="00E47FC7"/>
    <w:rsid w:val="00E502AA"/>
    <w:rsid w:val="00E50A0D"/>
    <w:rsid w:val="00E5114E"/>
    <w:rsid w:val="00E51367"/>
    <w:rsid w:val="00E5212D"/>
    <w:rsid w:val="00E521D0"/>
    <w:rsid w:val="00E53341"/>
    <w:rsid w:val="00E53F85"/>
    <w:rsid w:val="00E540AC"/>
    <w:rsid w:val="00E55179"/>
    <w:rsid w:val="00E55269"/>
    <w:rsid w:val="00E55488"/>
    <w:rsid w:val="00E556D9"/>
    <w:rsid w:val="00E55CB5"/>
    <w:rsid w:val="00E56DBB"/>
    <w:rsid w:val="00E57453"/>
    <w:rsid w:val="00E61E02"/>
    <w:rsid w:val="00E639F6"/>
    <w:rsid w:val="00E64DAA"/>
    <w:rsid w:val="00E65383"/>
    <w:rsid w:val="00E65F79"/>
    <w:rsid w:val="00E66B34"/>
    <w:rsid w:val="00E674F8"/>
    <w:rsid w:val="00E676E0"/>
    <w:rsid w:val="00E67AC9"/>
    <w:rsid w:val="00E67EDD"/>
    <w:rsid w:val="00E73EB0"/>
    <w:rsid w:val="00E75A7A"/>
    <w:rsid w:val="00E77E06"/>
    <w:rsid w:val="00E819E2"/>
    <w:rsid w:val="00E842E1"/>
    <w:rsid w:val="00E8526B"/>
    <w:rsid w:val="00E86CD5"/>
    <w:rsid w:val="00E87236"/>
    <w:rsid w:val="00E8799A"/>
    <w:rsid w:val="00E91635"/>
    <w:rsid w:val="00E92B82"/>
    <w:rsid w:val="00E92E0A"/>
    <w:rsid w:val="00E93230"/>
    <w:rsid w:val="00E93369"/>
    <w:rsid w:val="00E94D71"/>
    <w:rsid w:val="00E953C3"/>
    <w:rsid w:val="00E95B7B"/>
    <w:rsid w:val="00E97F51"/>
    <w:rsid w:val="00EA05CB"/>
    <w:rsid w:val="00EA0BD0"/>
    <w:rsid w:val="00EA184B"/>
    <w:rsid w:val="00EA2E88"/>
    <w:rsid w:val="00EA3362"/>
    <w:rsid w:val="00EA6361"/>
    <w:rsid w:val="00EB113B"/>
    <w:rsid w:val="00EB17D5"/>
    <w:rsid w:val="00EB32D8"/>
    <w:rsid w:val="00EB33E9"/>
    <w:rsid w:val="00EB442A"/>
    <w:rsid w:val="00EB68FB"/>
    <w:rsid w:val="00EB6968"/>
    <w:rsid w:val="00EB7068"/>
    <w:rsid w:val="00EC0328"/>
    <w:rsid w:val="00EC1CB2"/>
    <w:rsid w:val="00EC32CB"/>
    <w:rsid w:val="00EC4B53"/>
    <w:rsid w:val="00EC5143"/>
    <w:rsid w:val="00EC5F5A"/>
    <w:rsid w:val="00EC73F0"/>
    <w:rsid w:val="00ED0888"/>
    <w:rsid w:val="00ED37E6"/>
    <w:rsid w:val="00ED4D4E"/>
    <w:rsid w:val="00ED653F"/>
    <w:rsid w:val="00ED6C5A"/>
    <w:rsid w:val="00ED6CCF"/>
    <w:rsid w:val="00EE0FA9"/>
    <w:rsid w:val="00EE2088"/>
    <w:rsid w:val="00EE3840"/>
    <w:rsid w:val="00EE5BD4"/>
    <w:rsid w:val="00EE6578"/>
    <w:rsid w:val="00EE6CE3"/>
    <w:rsid w:val="00EE70B6"/>
    <w:rsid w:val="00EF02C9"/>
    <w:rsid w:val="00EF0E3E"/>
    <w:rsid w:val="00EF1D26"/>
    <w:rsid w:val="00EF1EDC"/>
    <w:rsid w:val="00EF3142"/>
    <w:rsid w:val="00EF3BFD"/>
    <w:rsid w:val="00EF4B84"/>
    <w:rsid w:val="00EF616E"/>
    <w:rsid w:val="00EF6D91"/>
    <w:rsid w:val="00EF760B"/>
    <w:rsid w:val="00F001F1"/>
    <w:rsid w:val="00F0206A"/>
    <w:rsid w:val="00F028D7"/>
    <w:rsid w:val="00F0389A"/>
    <w:rsid w:val="00F04ABD"/>
    <w:rsid w:val="00F04D9D"/>
    <w:rsid w:val="00F05CCA"/>
    <w:rsid w:val="00F06EF0"/>
    <w:rsid w:val="00F07DB3"/>
    <w:rsid w:val="00F10B49"/>
    <w:rsid w:val="00F1195F"/>
    <w:rsid w:val="00F14003"/>
    <w:rsid w:val="00F16B19"/>
    <w:rsid w:val="00F16BD9"/>
    <w:rsid w:val="00F16FD8"/>
    <w:rsid w:val="00F20F44"/>
    <w:rsid w:val="00F213DD"/>
    <w:rsid w:val="00F21D2F"/>
    <w:rsid w:val="00F22B5E"/>
    <w:rsid w:val="00F23906"/>
    <w:rsid w:val="00F23EAD"/>
    <w:rsid w:val="00F24634"/>
    <w:rsid w:val="00F25E65"/>
    <w:rsid w:val="00F25F80"/>
    <w:rsid w:val="00F270C5"/>
    <w:rsid w:val="00F2741B"/>
    <w:rsid w:val="00F27AC4"/>
    <w:rsid w:val="00F314A0"/>
    <w:rsid w:val="00F315FB"/>
    <w:rsid w:val="00F3219A"/>
    <w:rsid w:val="00F34E31"/>
    <w:rsid w:val="00F350EA"/>
    <w:rsid w:val="00F3711F"/>
    <w:rsid w:val="00F37738"/>
    <w:rsid w:val="00F40DF8"/>
    <w:rsid w:val="00F410EF"/>
    <w:rsid w:val="00F428D6"/>
    <w:rsid w:val="00F42ADC"/>
    <w:rsid w:val="00F44864"/>
    <w:rsid w:val="00F44CF7"/>
    <w:rsid w:val="00F452CE"/>
    <w:rsid w:val="00F45601"/>
    <w:rsid w:val="00F46A05"/>
    <w:rsid w:val="00F46CCD"/>
    <w:rsid w:val="00F47FF4"/>
    <w:rsid w:val="00F51185"/>
    <w:rsid w:val="00F5289B"/>
    <w:rsid w:val="00F53581"/>
    <w:rsid w:val="00F53A3C"/>
    <w:rsid w:val="00F53C05"/>
    <w:rsid w:val="00F551F4"/>
    <w:rsid w:val="00F55B93"/>
    <w:rsid w:val="00F57943"/>
    <w:rsid w:val="00F60157"/>
    <w:rsid w:val="00F6040D"/>
    <w:rsid w:val="00F60575"/>
    <w:rsid w:val="00F610ED"/>
    <w:rsid w:val="00F61FA2"/>
    <w:rsid w:val="00F62DFB"/>
    <w:rsid w:val="00F63AAD"/>
    <w:rsid w:val="00F63C9D"/>
    <w:rsid w:val="00F63D90"/>
    <w:rsid w:val="00F643C9"/>
    <w:rsid w:val="00F65745"/>
    <w:rsid w:val="00F6718C"/>
    <w:rsid w:val="00F67268"/>
    <w:rsid w:val="00F672C1"/>
    <w:rsid w:val="00F674F5"/>
    <w:rsid w:val="00F67915"/>
    <w:rsid w:val="00F67A6C"/>
    <w:rsid w:val="00F67D4F"/>
    <w:rsid w:val="00F709A4"/>
    <w:rsid w:val="00F70BCC"/>
    <w:rsid w:val="00F70CFA"/>
    <w:rsid w:val="00F71547"/>
    <w:rsid w:val="00F717C2"/>
    <w:rsid w:val="00F71896"/>
    <w:rsid w:val="00F72275"/>
    <w:rsid w:val="00F72705"/>
    <w:rsid w:val="00F72C4D"/>
    <w:rsid w:val="00F72C57"/>
    <w:rsid w:val="00F73FB8"/>
    <w:rsid w:val="00F76D8C"/>
    <w:rsid w:val="00F772D4"/>
    <w:rsid w:val="00F777AD"/>
    <w:rsid w:val="00F77A0D"/>
    <w:rsid w:val="00F821DA"/>
    <w:rsid w:val="00F835E0"/>
    <w:rsid w:val="00F840AC"/>
    <w:rsid w:val="00F846DA"/>
    <w:rsid w:val="00F84719"/>
    <w:rsid w:val="00F8519C"/>
    <w:rsid w:val="00F86975"/>
    <w:rsid w:val="00F87DEF"/>
    <w:rsid w:val="00F87EF5"/>
    <w:rsid w:val="00F91C36"/>
    <w:rsid w:val="00F91D49"/>
    <w:rsid w:val="00F91F9A"/>
    <w:rsid w:val="00F9264F"/>
    <w:rsid w:val="00F928D8"/>
    <w:rsid w:val="00F93867"/>
    <w:rsid w:val="00F93EE1"/>
    <w:rsid w:val="00F95199"/>
    <w:rsid w:val="00F959F7"/>
    <w:rsid w:val="00F9775E"/>
    <w:rsid w:val="00F97B68"/>
    <w:rsid w:val="00FA0451"/>
    <w:rsid w:val="00FA08B1"/>
    <w:rsid w:val="00FA2E13"/>
    <w:rsid w:val="00FA3644"/>
    <w:rsid w:val="00FA545A"/>
    <w:rsid w:val="00FA59ED"/>
    <w:rsid w:val="00FA6114"/>
    <w:rsid w:val="00FA6325"/>
    <w:rsid w:val="00FA6CC4"/>
    <w:rsid w:val="00FA6F08"/>
    <w:rsid w:val="00FB000F"/>
    <w:rsid w:val="00FB11AF"/>
    <w:rsid w:val="00FB13A0"/>
    <w:rsid w:val="00FB18E3"/>
    <w:rsid w:val="00FB1A77"/>
    <w:rsid w:val="00FB1B90"/>
    <w:rsid w:val="00FB290D"/>
    <w:rsid w:val="00FB32C1"/>
    <w:rsid w:val="00FB3B73"/>
    <w:rsid w:val="00FB3BF7"/>
    <w:rsid w:val="00FB3DB4"/>
    <w:rsid w:val="00FB3F21"/>
    <w:rsid w:val="00FB45C4"/>
    <w:rsid w:val="00FB50F4"/>
    <w:rsid w:val="00FB544D"/>
    <w:rsid w:val="00FB6230"/>
    <w:rsid w:val="00FB708D"/>
    <w:rsid w:val="00FC0060"/>
    <w:rsid w:val="00FC06A9"/>
    <w:rsid w:val="00FC2A4D"/>
    <w:rsid w:val="00FC2BC5"/>
    <w:rsid w:val="00FC2F3C"/>
    <w:rsid w:val="00FC551A"/>
    <w:rsid w:val="00FC56A9"/>
    <w:rsid w:val="00FC72F1"/>
    <w:rsid w:val="00FD01EF"/>
    <w:rsid w:val="00FD0D44"/>
    <w:rsid w:val="00FD153B"/>
    <w:rsid w:val="00FD175D"/>
    <w:rsid w:val="00FD2567"/>
    <w:rsid w:val="00FD2A90"/>
    <w:rsid w:val="00FD30EE"/>
    <w:rsid w:val="00FD3626"/>
    <w:rsid w:val="00FD3D2A"/>
    <w:rsid w:val="00FD4BE6"/>
    <w:rsid w:val="00FD6452"/>
    <w:rsid w:val="00FD646C"/>
    <w:rsid w:val="00FD6D41"/>
    <w:rsid w:val="00FD6DDE"/>
    <w:rsid w:val="00FD6FA0"/>
    <w:rsid w:val="00FD7E87"/>
    <w:rsid w:val="00FE0040"/>
    <w:rsid w:val="00FE0727"/>
    <w:rsid w:val="00FE0F37"/>
    <w:rsid w:val="00FE13CB"/>
    <w:rsid w:val="00FE186F"/>
    <w:rsid w:val="00FE1C7A"/>
    <w:rsid w:val="00FE24A6"/>
    <w:rsid w:val="00FE2D0E"/>
    <w:rsid w:val="00FE379E"/>
    <w:rsid w:val="00FE4161"/>
    <w:rsid w:val="00FE527A"/>
    <w:rsid w:val="00FE59BD"/>
    <w:rsid w:val="00FE5A24"/>
    <w:rsid w:val="00FE5F37"/>
    <w:rsid w:val="00FE73C6"/>
    <w:rsid w:val="00FE7831"/>
    <w:rsid w:val="00FF07E5"/>
    <w:rsid w:val="00FF45C0"/>
    <w:rsid w:val="00FF50F6"/>
    <w:rsid w:val="00FF5FD1"/>
    <w:rsid w:val="00FF6517"/>
    <w:rsid w:val="00FF67D6"/>
    <w:rsid w:val="00FF6EBB"/>
    <w:rsid w:val="00FF6F31"/>
    <w:rsid w:val="00FF72B8"/>
    <w:rsid w:val="00FF7BDD"/>
    <w:rsid w:val="00FF7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18F3A655-1E14-40A9-AD59-C348129A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D84"/>
    <w:rPr>
      <w:rFonts w:ascii="Arial" w:hAnsi="Arial"/>
      <w:color w:val="000000"/>
      <w:sz w:val="24"/>
      <w:lang w:val="en-US" w:eastAsia="fr-FR"/>
    </w:rPr>
  </w:style>
  <w:style w:type="paragraph" w:styleId="Titre1">
    <w:name w:val="heading 1"/>
    <w:basedOn w:val="Normal"/>
    <w:next w:val="Normal"/>
    <w:link w:val="Titre1Car"/>
    <w:qFormat/>
    <w:pPr>
      <w:keepNext/>
      <w:numPr>
        <w:numId w:val="1"/>
      </w:numPr>
      <w:spacing w:before="140" w:line="240" w:lineRule="exact"/>
      <w:ind w:right="129"/>
      <w:jc w:val="both"/>
      <w:outlineLvl w:val="0"/>
    </w:pPr>
    <w:rPr>
      <w:rFonts w:ascii="Times New Roman" w:hAnsi="Times New Roman"/>
      <w:i/>
      <w:sz w:val="20"/>
    </w:rPr>
  </w:style>
  <w:style w:type="paragraph" w:styleId="Titre2">
    <w:name w:val="heading 2"/>
    <w:basedOn w:val="Normal"/>
    <w:next w:val="Normal"/>
    <w:qFormat/>
    <w:pPr>
      <w:keepNext/>
      <w:spacing w:before="140" w:line="240" w:lineRule="exact"/>
      <w:ind w:right="129"/>
      <w:jc w:val="both"/>
      <w:outlineLvl w:val="1"/>
    </w:pPr>
    <w:rPr>
      <w:rFonts w:ascii="Times New Roman" w:hAnsi="Times New Roman"/>
      <w:i/>
      <w:sz w:val="20"/>
    </w:rPr>
  </w:style>
  <w:style w:type="paragraph" w:styleId="Titre3">
    <w:name w:val="heading 3"/>
    <w:basedOn w:val="Normal"/>
    <w:next w:val="Normal"/>
    <w:qFormat/>
    <w:pPr>
      <w:keepNext/>
      <w:numPr>
        <w:numId w:val="3"/>
      </w:numPr>
      <w:spacing w:before="140"/>
      <w:ind w:right="130"/>
      <w:jc w:val="both"/>
      <w:outlineLvl w:val="2"/>
    </w:pPr>
    <w:rPr>
      <w:rFonts w:ascii="Times" w:hAnsi="Times"/>
      <w:i/>
      <w:sz w:val="20"/>
    </w:rPr>
  </w:style>
  <w:style w:type="paragraph" w:styleId="Titre4">
    <w:name w:val="heading 4"/>
    <w:basedOn w:val="Normal"/>
    <w:next w:val="Normal"/>
    <w:qFormat/>
    <w:pPr>
      <w:keepNext/>
      <w:spacing w:after="240" w:line="240" w:lineRule="exact"/>
      <w:ind w:left="79" w:right="130" w:firstLine="488"/>
      <w:jc w:val="both"/>
      <w:outlineLvl w:val="3"/>
    </w:pPr>
    <w:rPr>
      <w:rFonts w:ascii="Times New Roman" w:hAnsi="Times New Roman"/>
      <w:b/>
      <w:sz w:val="20"/>
      <w:lang w:val="fr-LU"/>
    </w:rPr>
  </w:style>
  <w:style w:type="paragraph" w:styleId="Titre5">
    <w:name w:val="heading 5"/>
    <w:basedOn w:val="Normal"/>
    <w:next w:val="Normal"/>
    <w:qFormat/>
    <w:pPr>
      <w:keepNext/>
      <w:spacing w:before="240" w:after="60" w:line="240" w:lineRule="exact"/>
      <w:ind w:left="62" w:right="130" w:firstLine="505"/>
      <w:jc w:val="both"/>
      <w:outlineLvl w:val="4"/>
    </w:pPr>
    <w:rPr>
      <w:rFonts w:ascii="Times New Roman" w:hAnsi="Times New Roman"/>
      <w:b/>
      <w:sz w:val="20"/>
      <w:lang w:val="fr-LU"/>
    </w:rPr>
  </w:style>
  <w:style w:type="paragraph" w:styleId="Titre6">
    <w:name w:val="heading 6"/>
    <w:basedOn w:val="Normal"/>
    <w:next w:val="Normal"/>
    <w:link w:val="Titre6Car"/>
    <w:qFormat/>
    <w:pPr>
      <w:keepNext/>
      <w:spacing w:before="240" w:after="60" w:line="240" w:lineRule="exact"/>
      <w:ind w:left="1418" w:right="130" w:hanging="851"/>
      <w:jc w:val="both"/>
      <w:outlineLvl w:val="5"/>
    </w:pPr>
    <w:rPr>
      <w:rFonts w:ascii="Times New Roman" w:hAnsi="Times New Roman"/>
      <w:b/>
      <w:sz w:val="20"/>
      <w:lang w:val="fr-LU"/>
    </w:rPr>
  </w:style>
  <w:style w:type="paragraph" w:styleId="Titre7">
    <w:name w:val="heading 7"/>
    <w:basedOn w:val="Normal"/>
    <w:next w:val="Normal"/>
    <w:link w:val="Titre7Car"/>
    <w:qFormat/>
    <w:pPr>
      <w:keepNext/>
      <w:spacing w:before="240" w:after="60" w:line="240" w:lineRule="exact"/>
      <w:ind w:left="1985" w:right="130" w:hanging="1418"/>
      <w:jc w:val="both"/>
      <w:outlineLvl w:val="6"/>
    </w:pPr>
    <w:rPr>
      <w:rFonts w:ascii="Times New Roman" w:hAnsi="Times New Roman"/>
      <w:b/>
      <w:sz w:val="20"/>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sz w:val="20"/>
    </w:rPr>
  </w:style>
  <w:style w:type="paragraph" w:styleId="En-tte">
    <w:name w:val="header"/>
    <w:basedOn w:val="Normal"/>
    <w:link w:val="En-tteCar"/>
    <w:uiPriority w:val="99"/>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character" w:styleId="Numrodepage">
    <w:name w:val="page number"/>
    <w:basedOn w:val="Policepardfaut"/>
  </w:style>
  <w:style w:type="paragraph" w:styleId="Normalcentr">
    <w:name w:val="Block Text"/>
    <w:basedOn w:val="Normal"/>
    <w:pPr>
      <w:spacing w:before="140" w:line="240" w:lineRule="exact"/>
      <w:ind w:left="80" w:right="129" w:firstLine="487"/>
      <w:jc w:val="both"/>
    </w:pPr>
    <w:rPr>
      <w:rFonts w:ascii="Times New Roman" w:hAnsi="Times New Roman"/>
      <w:sz w:val="20"/>
    </w:rPr>
  </w:style>
  <w:style w:type="paragraph" w:styleId="Retraitcorpsdetexte">
    <w:name w:val="Body Text Indent"/>
    <w:basedOn w:val="Normal"/>
    <w:link w:val="RetraitcorpsdetexteCar"/>
    <w:pPr>
      <w:spacing w:before="140" w:line="240" w:lineRule="exact"/>
      <w:ind w:right="129" w:firstLine="567"/>
      <w:jc w:val="both"/>
    </w:pPr>
    <w:rPr>
      <w:rFonts w:ascii="Times New Roman" w:hAnsi="Times New Roman"/>
      <w:sz w:val="20"/>
      <w:lang w:val="fr-LU"/>
    </w:rPr>
  </w:style>
  <w:style w:type="paragraph" w:styleId="Retraitcorpsdetexte2">
    <w:name w:val="Body Text Indent 2"/>
    <w:basedOn w:val="Normal"/>
    <w:link w:val="Retraitcorpsdetexte2Car"/>
    <w:pPr>
      <w:ind w:firstLine="567"/>
      <w:jc w:val="both"/>
    </w:pPr>
    <w:rPr>
      <w:rFonts w:ascii="Times" w:hAnsi="Times"/>
      <w:sz w:val="20"/>
    </w:rPr>
  </w:style>
  <w:style w:type="paragraph" w:styleId="Corpsdetexte">
    <w:name w:val="Body Text"/>
    <w:basedOn w:val="Normal"/>
    <w:pPr>
      <w:spacing w:before="140" w:line="240" w:lineRule="exact"/>
      <w:ind w:right="129"/>
      <w:jc w:val="both"/>
    </w:pPr>
    <w:rPr>
      <w:rFonts w:ascii="Times New Roman" w:hAnsi="Times New Roman"/>
      <w:sz w:val="20"/>
    </w:rPr>
  </w:style>
  <w:style w:type="paragraph" w:styleId="Retraitcorpsdetexte3">
    <w:name w:val="Body Text Indent 3"/>
    <w:basedOn w:val="Normal"/>
    <w:pPr>
      <w:spacing w:before="120" w:after="120"/>
      <w:ind w:left="709" w:hanging="142"/>
      <w:jc w:val="both"/>
    </w:pPr>
    <w:rPr>
      <w:rFonts w:ascii="Times New Roman" w:hAnsi="Times New Roman"/>
      <w:color w:val="auto"/>
      <w:sz w:val="20"/>
      <w:lang w:val="fr-FR"/>
    </w:rPr>
  </w:style>
  <w:style w:type="paragraph" w:styleId="Corpsdetexte2">
    <w:name w:val="Body Text 2"/>
    <w:basedOn w:val="Normal"/>
    <w:pPr>
      <w:tabs>
        <w:tab w:val="left" w:pos="1418"/>
      </w:tabs>
      <w:spacing w:before="60" w:after="60" w:line="240" w:lineRule="exact"/>
      <w:ind w:right="129"/>
      <w:jc w:val="both"/>
    </w:pPr>
  </w:style>
  <w:style w:type="paragraph" w:styleId="Corpsdetexte3">
    <w:name w:val="Body Text 3"/>
    <w:basedOn w:val="Normal"/>
    <w:rPr>
      <w:rFonts w:ascii="Times" w:hAnsi="Times"/>
      <w:sz w:val="20"/>
    </w:rPr>
  </w:style>
  <w:style w:type="paragraph" w:styleId="Lgende">
    <w:name w:val="caption"/>
    <w:basedOn w:val="Normal"/>
    <w:next w:val="Normal"/>
    <w:qFormat/>
    <w:pPr>
      <w:widowControl w:val="0"/>
      <w:numPr>
        <w:numId w:val="2"/>
      </w:numPr>
      <w:tabs>
        <w:tab w:val="left" w:pos="80"/>
        <w:tab w:val="left" w:pos="10080"/>
        <w:tab w:val="left" w:pos="10800"/>
      </w:tabs>
      <w:spacing w:before="80" w:after="80"/>
      <w:ind w:firstLine="851"/>
      <w:jc w:val="both"/>
    </w:pPr>
    <w:rPr>
      <w:rFonts w:ascii="Geneva" w:hAnsi="Geneva"/>
      <w:b/>
      <w:i/>
      <w:snapToGrid w:val="0"/>
      <w:color w:val="auto"/>
      <w:sz w:val="20"/>
      <w:lang w:val="fr-FR" w:eastAsia="en-US"/>
    </w:rPr>
  </w:style>
  <w:style w:type="paragraph" w:styleId="Commentaire">
    <w:name w:val="annotation text"/>
    <w:basedOn w:val="Normal"/>
    <w:link w:val="CommentaireCar"/>
    <w:uiPriority w:val="99"/>
    <w:semiHidden/>
    <w:pPr>
      <w:widowControl w:val="0"/>
    </w:pPr>
    <w:rPr>
      <w:rFonts w:ascii="Geneva" w:hAnsi="Geneva"/>
      <w:snapToGrid w:val="0"/>
      <w:color w:val="auto"/>
      <w:sz w:val="20"/>
      <w:lang w:val="fr-FR" w:eastAsia="en-US"/>
    </w:rPr>
  </w:style>
  <w:style w:type="paragraph" w:customStyle="1" w:styleId="retrait">
    <w:name w:val="retrait"/>
    <w:basedOn w:val="Normal"/>
    <w:pPr>
      <w:spacing w:line="360" w:lineRule="auto"/>
      <w:ind w:left="1134" w:firstLine="851"/>
      <w:jc w:val="both"/>
    </w:pPr>
    <w:rPr>
      <w:rFonts w:ascii="Courier New" w:hAnsi="Courier New"/>
      <w:color w:val="auto"/>
      <w:sz w:val="20"/>
      <w:lang w:val="fr-FR"/>
    </w:rPr>
  </w:style>
  <w:style w:type="paragraph" w:customStyle="1" w:styleId="Intituldocument">
    <w:name w:val="Intitulé document"/>
    <w:basedOn w:val="Normal"/>
    <w:pPr>
      <w:keepNext/>
      <w:keepLines/>
      <w:spacing w:before="240" w:after="360"/>
    </w:pPr>
    <w:rPr>
      <w:rFonts w:ascii="Times New Roman" w:hAnsi="Times New Roman"/>
      <w:b/>
      <w:color w:val="auto"/>
      <w:kern w:val="28"/>
      <w:sz w:val="36"/>
      <w:lang w:val="fr-FR"/>
    </w:rPr>
  </w:style>
  <w:style w:type="paragraph" w:styleId="Textebrut">
    <w:name w:val="Plain Text"/>
    <w:basedOn w:val="Normal"/>
    <w:link w:val="TextebrutCar"/>
    <w:uiPriority w:val="99"/>
    <w:rPr>
      <w:rFonts w:ascii="Courier New" w:hAnsi="Courier New"/>
      <w:color w:val="auto"/>
      <w:sz w:val="20"/>
      <w:lang w:val="fr-FR"/>
    </w:rPr>
  </w:style>
  <w:style w:type="paragraph" w:customStyle="1" w:styleId="aind">
    <w:name w:val="a_ind"/>
    <w:basedOn w:val="Normal"/>
    <w:pPr>
      <w:overflowPunct w:val="0"/>
      <w:autoSpaceDE w:val="0"/>
      <w:autoSpaceDN w:val="0"/>
      <w:adjustRightInd w:val="0"/>
      <w:ind w:firstLine="851"/>
      <w:textAlignment w:val="baseline"/>
    </w:pPr>
    <w:rPr>
      <w:rFonts w:ascii="Times New Roman" w:hAnsi="Times New Roman"/>
      <w:color w:val="auto"/>
      <w:lang w:val="fr-FR"/>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character" w:customStyle="1" w:styleId="Caractrestandard">
    <w:name w:val="Caractère standard"/>
    <w:rsid w:val="00CA2141"/>
    <w:rPr>
      <w:rFonts w:cs="Bookman Old Style"/>
      <w:color w:val="000000"/>
      <w:sz w:val="20"/>
      <w:szCs w:val="20"/>
      <w:lang w:val="fr-FR"/>
    </w:rPr>
  </w:style>
  <w:style w:type="table" w:styleId="Grilledutableau">
    <w:name w:val="Table Grid"/>
    <w:basedOn w:val="TableauNormal"/>
    <w:uiPriority w:val="59"/>
    <w:rsid w:val="008B4C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856C4"/>
    <w:rPr>
      <w:sz w:val="20"/>
    </w:rPr>
  </w:style>
  <w:style w:type="character" w:styleId="Appelnotedebasdep">
    <w:name w:val="footnote reference"/>
    <w:aliases w:val="Footnote symbol"/>
    <w:uiPriority w:val="99"/>
    <w:rsid w:val="007856C4"/>
    <w:rPr>
      <w:vertAlign w:val="superscript"/>
    </w:rPr>
  </w:style>
  <w:style w:type="paragraph" w:customStyle="1" w:styleId="ListParagraph1">
    <w:name w:val="List Paragraph1"/>
    <w:basedOn w:val="Normal"/>
    <w:qFormat/>
    <w:rsid w:val="00201420"/>
    <w:pPr>
      <w:ind w:left="720"/>
      <w:contextualSpacing/>
      <w:jc w:val="both"/>
    </w:pPr>
    <w:rPr>
      <w:color w:val="auto"/>
      <w:sz w:val="22"/>
      <w:lang w:val="fr-CA" w:eastAsia="en-US"/>
    </w:rPr>
  </w:style>
  <w:style w:type="paragraph" w:styleId="Paragraphedeliste">
    <w:name w:val="List Paragraph"/>
    <w:basedOn w:val="Normal"/>
    <w:uiPriority w:val="34"/>
    <w:qFormat/>
    <w:rsid w:val="00E47646"/>
    <w:pPr>
      <w:ind w:left="720"/>
      <w:contextualSpacing/>
    </w:pPr>
    <w:rPr>
      <w:color w:val="auto"/>
      <w:sz w:val="22"/>
      <w:lang w:val="fr-FR"/>
    </w:rPr>
  </w:style>
  <w:style w:type="character" w:customStyle="1" w:styleId="RetraitcorpsdetexteCar">
    <w:name w:val="Retrait corps de texte Car"/>
    <w:link w:val="Retraitcorpsdetexte"/>
    <w:rsid w:val="00F04D9D"/>
    <w:rPr>
      <w:rFonts w:ascii="Times New Roman" w:hAnsi="Times New Roman"/>
      <w:color w:val="000000"/>
      <w:lang w:val="fr-LU"/>
    </w:rPr>
  </w:style>
  <w:style w:type="character" w:customStyle="1" w:styleId="Titre1Car">
    <w:name w:val="Titre 1 Car"/>
    <w:link w:val="Titre1"/>
    <w:rsid w:val="00587CE3"/>
    <w:rPr>
      <w:rFonts w:ascii="Times New Roman" w:hAnsi="Times New Roman"/>
      <w:i/>
      <w:color w:val="000000"/>
      <w:lang w:val="en-US"/>
    </w:rPr>
  </w:style>
  <w:style w:type="character" w:customStyle="1" w:styleId="Titre7Car">
    <w:name w:val="Titre 7 Car"/>
    <w:link w:val="Titre7"/>
    <w:rsid w:val="00587CE3"/>
    <w:rPr>
      <w:rFonts w:ascii="Times New Roman" w:hAnsi="Times New Roman"/>
      <w:b/>
      <w:color w:val="000000"/>
      <w:lang w:val="fr-LU"/>
    </w:rPr>
  </w:style>
  <w:style w:type="paragraph" w:customStyle="1" w:styleId="Corps">
    <w:name w:val="Corps"/>
    <w:uiPriority w:val="99"/>
    <w:rsid w:val="005C6863"/>
    <w:pPr>
      <w:suppressAutoHyphens/>
    </w:pPr>
    <w:rPr>
      <w:rFonts w:ascii="Helvetica" w:eastAsia="Helvetica" w:hAnsi="Helvetica" w:cs="Helvetica"/>
      <w:color w:val="000000"/>
      <w:kern w:val="1"/>
      <w:sz w:val="22"/>
      <w:szCs w:val="22"/>
      <w:lang w:val="fr-FR" w:eastAsia="hi-IN" w:bidi="hi-IN"/>
    </w:rPr>
  </w:style>
  <w:style w:type="paragraph" w:customStyle="1" w:styleId="CM1">
    <w:name w:val="CM1"/>
    <w:basedOn w:val="Normal"/>
    <w:next w:val="Normal"/>
    <w:uiPriority w:val="99"/>
    <w:rsid w:val="005C6863"/>
    <w:pPr>
      <w:autoSpaceDE w:val="0"/>
      <w:autoSpaceDN w:val="0"/>
      <w:adjustRightInd w:val="0"/>
    </w:pPr>
    <w:rPr>
      <w:rFonts w:ascii="EUAlbertina" w:hAnsi="EUAlbertina"/>
      <w:color w:val="auto"/>
      <w:szCs w:val="24"/>
      <w:lang w:val="fr-FR"/>
    </w:rPr>
  </w:style>
  <w:style w:type="character" w:customStyle="1" w:styleId="En-tteCar">
    <w:name w:val="En-tête Car"/>
    <w:link w:val="En-tte"/>
    <w:uiPriority w:val="99"/>
    <w:rsid w:val="00842EB1"/>
    <w:rPr>
      <w:rFonts w:ascii="Arial" w:hAnsi="Arial"/>
      <w:color w:val="000000"/>
      <w:sz w:val="24"/>
      <w:lang w:val="en-US"/>
    </w:rPr>
  </w:style>
  <w:style w:type="character" w:customStyle="1" w:styleId="Retraitcorpsdetexte2Car">
    <w:name w:val="Retrait corps de texte 2 Car"/>
    <w:link w:val="Retraitcorpsdetexte2"/>
    <w:rsid w:val="00971312"/>
    <w:rPr>
      <w:color w:val="000000"/>
      <w:lang w:val="en-US"/>
    </w:rPr>
  </w:style>
  <w:style w:type="character" w:styleId="Marquedecommentaire">
    <w:name w:val="annotation reference"/>
    <w:uiPriority w:val="99"/>
    <w:unhideWhenUsed/>
    <w:rsid w:val="00FC06A9"/>
    <w:rPr>
      <w:sz w:val="16"/>
      <w:szCs w:val="16"/>
    </w:rPr>
  </w:style>
  <w:style w:type="character" w:customStyle="1" w:styleId="CommentaireCar">
    <w:name w:val="Commentaire Car"/>
    <w:link w:val="Commentaire"/>
    <w:uiPriority w:val="99"/>
    <w:semiHidden/>
    <w:rsid w:val="00FC06A9"/>
    <w:rPr>
      <w:rFonts w:ascii="Geneva" w:hAnsi="Geneva"/>
      <w:snapToGrid w:val="0"/>
      <w:lang w:eastAsia="en-US"/>
    </w:rPr>
  </w:style>
  <w:style w:type="character" w:customStyle="1" w:styleId="st">
    <w:name w:val="st"/>
    <w:rsid w:val="00F04ABD"/>
  </w:style>
  <w:style w:type="paragraph" w:styleId="NormalWeb">
    <w:name w:val="Normal (Web)"/>
    <w:basedOn w:val="Normal"/>
    <w:uiPriority w:val="99"/>
    <w:unhideWhenUsed/>
    <w:rsid w:val="00315F72"/>
    <w:rPr>
      <w:rFonts w:ascii="Times New Roman" w:eastAsia="Calibri" w:hAnsi="Times New Roman"/>
      <w:color w:val="auto"/>
      <w:szCs w:val="24"/>
      <w:lang w:val="fr-FR"/>
    </w:rPr>
  </w:style>
  <w:style w:type="paragraph" w:customStyle="1" w:styleId="Default">
    <w:name w:val="Default"/>
    <w:basedOn w:val="Normal"/>
    <w:rsid w:val="00B76032"/>
    <w:pPr>
      <w:autoSpaceDE w:val="0"/>
      <w:autoSpaceDN w:val="0"/>
    </w:pPr>
    <w:rPr>
      <w:rFonts w:ascii="Swis721 BT" w:eastAsia="Calibri" w:hAnsi="Swis721 BT"/>
      <w:szCs w:val="24"/>
      <w:lang w:val="fr-FR"/>
    </w:rPr>
  </w:style>
  <w:style w:type="character" w:customStyle="1" w:styleId="Titre6Car">
    <w:name w:val="Titre 6 Car"/>
    <w:link w:val="Titre6"/>
    <w:rsid w:val="004518CF"/>
    <w:rPr>
      <w:rFonts w:ascii="Times New Roman" w:hAnsi="Times New Roman"/>
      <w:b/>
      <w:color w:val="000000"/>
      <w:lang w:val="fr-LU"/>
    </w:rPr>
  </w:style>
  <w:style w:type="character" w:customStyle="1" w:styleId="NotedebasdepageCar">
    <w:name w:val="Note de bas de page Car"/>
    <w:link w:val="Notedebasdepage"/>
    <w:rsid w:val="005972B5"/>
    <w:rPr>
      <w:rFonts w:ascii="Arial" w:hAnsi="Arial"/>
      <w:color w:val="000000"/>
      <w:lang w:val="en-US"/>
    </w:rPr>
  </w:style>
  <w:style w:type="character" w:customStyle="1" w:styleId="TextebrutCar">
    <w:name w:val="Texte brut Car"/>
    <w:link w:val="Textebrut"/>
    <w:uiPriority w:val="99"/>
    <w:rsid w:val="00632FB3"/>
    <w:rPr>
      <w:rFonts w:ascii="Courier New" w:hAnsi="Courier New"/>
    </w:rPr>
  </w:style>
  <w:style w:type="character" w:customStyle="1" w:styleId="PieddepageCar">
    <w:name w:val="Pied de page Car"/>
    <w:link w:val="Pieddepage"/>
    <w:uiPriority w:val="99"/>
    <w:rsid w:val="008768EF"/>
    <w:rPr>
      <w:rFonts w:ascii="Arial" w:hAnsi="Arial"/>
      <w:color w:val="000000"/>
      <w:sz w:val="24"/>
      <w:lang w:val="en-US"/>
    </w:rPr>
  </w:style>
  <w:style w:type="paragraph" w:styleId="Sansinterligne">
    <w:name w:val="No Spacing"/>
    <w:uiPriority w:val="1"/>
    <w:qFormat/>
    <w:rsid w:val="00AA52BD"/>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854">
      <w:bodyDiv w:val="1"/>
      <w:marLeft w:val="0"/>
      <w:marRight w:val="0"/>
      <w:marTop w:val="0"/>
      <w:marBottom w:val="0"/>
      <w:divBdr>
        <w:top w:val="none" w:sz="0" w:space="0" w:color="auto"/>
        <w:left w:val="none" w:sz="0" w:space="0" w:color="auto"/>
        <w:bottom w:val="none" w:sz="0" w:space="0" w:color="auto"/>
        <w:right w:val="none" w:sz="0" w:space="0" w:color="auto"/>
      </w:divBdr>
    </w:div>
    <w:div w:id="121654599">
      <w:bodyDiv w:val="1"/>
      <w:marLeft w:val="0"/>
      <w:marRight w:val="0"/>
      <w:marTop w:val="0"/>
      <w:marBottom w:val="0"/>
      <w:divBdr>
        <w:top w:val="none" w:sz="0" w:space="0" w:color="auto"/>
        <w:left w:val="none" w:sz="0" w:space="0" w:color="auto"/>
        <w:bottom w:val="none" w:sz="0" w:space="0" w:color="auto"/>
        <w:right w:val="none" w:sz="0" w:space="0" w:color="auto"/>
      </w:divBdr>
    </w:div>
    <w:div w:id="137458500">
      <w:bodyDiv w:val="1"/>
      <w:marLeft w:val="0"/>
      <w:marRight w:val="0"/>
      <w:marTop w:val="0"/>
      <w:marBottom w:val="0"/>
      <w:divBdr>
        <w:top w:val="none" w:sz="0" w:space="0" w:color="auto"/>
        <w:left w:val="none" w:sz="0" w:space="0" w:color="auto"/>
        <w:bottom w:val="none" w:sz="0" w:space="0" w:color="auto"/>
        <w:right w:val="none" w:sz="0" w:space="0" w:color="auto"/>
      </w:divBdr>
    </w:div>
    <w:div w:id="169831578">
      <w:bodyDiv w:val="1"/>
      <w:marLeft w:val="0"/>
      <w:marRight w:val="0"/>
      <w:marTop w:val="0"/>
      <w:marBottom w:val="0"/>
      <w:divBdr>
        <w:top w:val="none" w:sz="0" w:space="0" w:color="auto"/>
        <w:left w:val="none" w:sz="0" w:space="0" w:color="auto"/>
        <w:bottom w:val="none" w:sz="0" w:space="0" w:color="auto"/>
        <w:right w:val="none" w:sz="0" w:space="0" w:color="auto"/>
      </w:divBdr>
    </w:div>
    <w:div w:id="183371913">
      <w:bodyDiv w:val="1"/>
      <w:marLeft w:val="0"/>
      <w:marRight w:val="0"/>
      <w:marTop w:val="0"/>
      <w:marBottom w:val="0"/>
      <w:divBdr>
        <w:top w:val="none" w:sz="0" w:space="0" w:color="auto"/>
        <w:left w:val="none" w:sz="0" w:space="0" w:color="auto"/>
        <w:bottom w:val="none" w:sz="0" w:space="0" w:color="auto"/>
        <w:right w:val="none" w:sz="0" w:space="0" w:color="auto"/>
      </w:divBdr>
    </w:div>
    <w:div w:id="219749363">
      <w:bodyDiv w:val="1"/>
      <w:marLeft w:val="0"/>
      <w:marRight w:val="0"/>
      <w:marTop w:val="0"/>
      <w:marBottom w:val="0"/>
      <w:divBdr>
        <w:top w:val="none" w:sz="0" w:space="0" w:color="auto"/>
        <w:left w:val="none" w:sz="0" w:space="0" w:color="auto"/>
        <w:bottom w:val="none" w:sz="0" w:space="0" w:color="auto"/>
        <w:right w:val="none" w:sz="0" w:space="0" w:color="auto"/>
      </w:divBdr>
    </w:div>
    <w:div w:id="224417346">
      <w:bodyDiv w:val="1"/>
      <w:marLeft w:val="0"/>
      <w:marRight w:val="0"/>
      <w:marTop w:val="0"/>
      <w:marBottom w:val="0"/>
      <w:divBdr>
        <w:top w:val="none" w:sz="0" w:space="0" w:color="auto"/>
        <w:left w:val="none" w:sz="0" w:space="0" w:color="auto"/>
        <w:bottom w:val="none" w:sz="0" w:space="0" w:color="auto"/>
        <w:right w:val="none" w:sz="0" w:space="0" w:color="auto"/>
      </w:divBdr>
    </w:div>
    <w:div w:id="273246862">
      <w:bodyDiv w:val="1"/>
      <w:marLeft w:val="0"/>
      <w:marRight w:val="0"/>
      <w:marTop w:val="0"/>
      <w:marBottom w:val="0"/>
      <w:divBdr>
        <w:top w:val="none" w:sz="0" w:space="0" w:color="auto"/>
        <w:left w:val="none" w:sz="0" w:space="0" w:color="auto"/>
        <w:bottom w:val="none" w:sz="0" w:space="0" w:color="auto"/>
        <w:right w:val="none" w:sz="0" w:space="0" w:color="auto"/>
      </w:divBdr>
    </w:div>
    <w:div w:id="296379130">
      <w:bodyDiv w:val="1"/>
      <w:marLeft w:val="0"/>
      <w:marRight w:val="0"/>
      <w:marTop w:val="0"/>
      <w:marBottom w:val="0"/>
      <w:divBdr>
        <w:top w:val="none" w:sz="0" w:space="0" w:color="auto"/>
        <w:left w:val="none" w:sz="0" w:space="0" w:color="auto"/>
        <w:bottom w:val="none" w:sz="0" w:space="0" w:color="auto"/>
        <w:right w:val="none" w:sz="0" w:space="0" w:color="auto"/>
      </w:divBdr>
    </w:div>
    <w:div w:id="333457365">
      <w:bodyDiv w:val="1"/>
      <w:marLeft w:val="0"/>
      <w:marRight w:val="0"/>
      <w:marTop w:val="0"/>
      <w:marBottom w:val="0"/>
      <w:divBdr>
        <w:top w:val="none" w:sz="0" w:space="0" w:color="auto"/>
        <w:left w:val="none" w:sz="0" w:space="0" w:color="auto"/>
        <w:bottom w:val="none" w:sz="0" w:space="0" w:color="auto"/>
        <w:right w:val="none" w:sz="0" w:space="0" w:color="auto"/>
      </w:divBdr>
    </w:div>
    <w:div w:id="345403732">
      <w:bodyDiv w:val="1"/>
      <w:marLeft w:val="0"/>
      <w:marRight w:val="0"/>
      <w:marTop w:val="0"/>
      <w:marBottom w:val="0"/>
      <w:divBdr>
        <w:top w:val="none" w:sz="0" w:space="0" w:color="auto"/>
        <w:left w:val="none" w:sz="0" w:space="0" w:color="auto"/>
        <w:bottom w:val="none" w:sz="0" w:space="0" w:color="auto"/>
        <w:right w:val="none" w:sz="0" w:space="0" w:color="auto"/>
      </w:divBdr>
    </w:div>
    <w:div w:id="385029916">
      <w:bodyDiv w:val="1"/>
      <w:marLeft w:val="0"/>
      <w:marRight w:val="0"/>
      <w:marTop w:val="0"/>
      <w:marBottom w:val="0"/>
      <w:divBdr>
        <w:top w:val="none" w:sz="0" w:space="0" w:color="auto"/>
        <w:left w:val="none" w:sz="0" w:space="0" w:color="auto"/>
        <w:bottom w:val="none" w:sz="0" w:space="0" w:color="auto"/>
        <w:right w:val="none" w:sz="0" w:space="0" w:color="auto"/>
      </w:divBdr>
    </w:div>
    <w:div w:id="388040801">
      <w:bodyDiv w:val="1"/>
      <w:marLeft w:val="0"/>
      <w:marRight w:val="0"/>
      <w:marTop w:val="0"/>
      <w:marBottom w:val="0"/>
      <w:divBdr>
        <w:top w:val="none" w:sz="0" w:space="0" w:color="auto"/>
        <w:left w:val="none" w:sz="0" w:space="0" w:color="auto"/>
        <w:bottom w:val="none" w:sz="0" w:space="0" w:color="auto"/>
        <w:right w:val="none" w:sz="0" w:space="0" w:color="auto"/>
      </w:divBdr>
    </w:div>
    <w:div w:id="403072659">
      <w:bodyDiv w:val="1"/>
      <w:marLeft w:val="0"/>
      <w:marRight w:val="0"/>
      <w:marTop w:val="0"/>
      <w:marBottom w:val="0"/>
      <w:divBdr>
        <w:top w:val="none" w:sz="0" w:space="0" w:color="auto"/>
        <w:left w:val="none" w:sz="0" w:space="0" w:color="auto"/>
        <w:bottom w:val="none" w:sz="0" w:space="0" w:color="auto"/>
        <w:right w:val="none" w:sz="0" w:space="0" w:color="auto"/>
      </w:divBdr>
    </w:div>
    <w:div w:id="503009720">
      <w:bodyDiv w:val="1"/>
      <w:marLeft w:val="0"/>
      <w:marRight w:val="0"/>
      <w:marTop w:val="0"/>
      <w:marBottom w:val="0"/>
      <w:divBdr>
        <w:top w:val="none" w:sz="0" w:space="0" w:color="auto"/>
        <w:left w:val="none" w:sz="0" w:space="0" w:color="auto"/>
        <w:bottom w:val="none" w:sz="0" w:space="0" w:color="auto"/>
        <w:right w:val="none" w:sz="0" w:space="0" w:color="auto"/>
      </w:divBdr>
    </w:div>
    <w:div w:id="504050786">
      <w:bodyDiv w:val="1"/>
      <w:marLeft w:val="0"/>
      <w:marRight w:val="0"/>
      <w:marTop w:val="0"/>
      <w:marBottom w:val="0"/>
      <w:divBdr>
        <w:top w:val="none" w:sz="0" w:space="0" w:color="auto"/>
        <w:left w:val="none" w:sz="0" w:space="0" w:color="auto"/>
        <w:bottom w:val="none" w:sz="0" w:space="0" w:color="auto"/>
        <w:right w:val="none" w:sz="0" w:space="0" w:color="auto"/>
      </w:divBdr>
    </w:div>
    <w:div w:id="539632908">
      <w:bodyDiv w:val="1"/>
      <w:marLeft w:val="0"/>
      <w:marRight w:val="0"/>
      <w:marTop w:val="0"/>
      <w:marBottom w:val="0"/>
      <w:divBdr>
        <w:top w:val="none" w:sz="0" w:space="0" w:color="auto"/>
        <w:left w:val="none" w:sz="0" w:space="0" w:color="auto"/>
        <w:bottom w:val="none" w:sz="0" w:space="0" w:color="auto"/>
        <w:right w:val="none" w:sz="0" w:space="0" w:color="auto"/>
      </w:divBdr>
    </w:div>
    <w:div w:id="587160511">
      <w:bodyDiv w:val="1"/>
      <w:marLeft w:val="0"/>
      <w:marRight w:val="0"/>
      <w:marTop w:val="0"/>
      <w:marBottom w:val="0"/>
      <w:divBdr>
        <w:top w:val="none" w:sz="0" w:space="0" w:color="auto"/>
        <w:left w:val="none" w:sz="0" w:space="0" w:color="auto"/>
        <w:bottom w:val="none" w:sz="0" w:space="0" w:color="auto"/>
        <w:right w:val="none" w:sz="0" w:space="0" w:color="auto"/>
      </w:divBdr>
    </w:div>
    <w:div w:id="601839232">
      <w:bodyDiv w:val="1"/>
      <w:marLeft w:val="0"/>
      <w:marRight w:val="0"/>
      <w:marTop w:val="0"/>
      <w:marBottom w:val="0"/>
      <w:divBdr>
        <w:top w:val="none" w:sz="0" w:space="0" w:color="auto"/>
        <w:left w:val="none" w:sz="0" w:space="0" w:color="auto"/>
        <w:bottom w:val="none" w:sz="0" w:space="0" w:color="auto"/>
        <w:right w:val="none" w:sz="0" w:space="0" w:color="auto"/>
      </w:divBdr>
    </w:div>
    <w:div w:id="662396659">
      <w:bodyDiv w:val="1"/>
      <w:marLeft w:val="0"/>
      <w:marRight w:val="0"/>
      <w:marTop w:val="0"/>
      <w:marBottom w:val="0"/>
      <w:divBdr>
        <w:top w:val="none" w:sz="0" w:space="0" w:color="auto"/>
        <w:left w:val="none" w:sz="0" w:space="0" w:color="auto"/>
        <w:bottom w:val="none" w:sz="0" w:space="0" w:color="auto"/>
        <w:right w:val="none" w:sz="0" w:space="0" w:color="auto"/>
      </w:divBdr>
    </w:div>
    <w:div w:id="684357804">
      <w:bodyDiv w:val="1"/>
      <w:marLeft w:val="0"/>
      <w:marRight w:val="0"/>
      <w:marTop w:val="0"/>
      <w:marBottom w:val="0"/>
      <w:divBdr>
        <w:top w:val="none" w:sz="0" w:space="0" w:color="auto"/>
        <w:left w:val="none" w:sz="0" w:space="0" w:color="auto"/>
        <w:bottom w:val="none" w:sz="0" w:space="0" w:color="auto"/>
        <w:right w:val="none" w:sz="0" w:space="0" w:color="auto"/>
      </w:divBdr>
    </w:div>
    <w:div w:id="686297759">
      <w:bodyDiv w:val="1"/>
      <w:marLeft w:val="0"/>
      <w:marRight w:val="0"/>
      <w:marTop w:val="0"/>
      <w:marBottom w:val="0"/>
      <w:divBdr>
        <w:top w:val="none" w:sz="0" w:space="0" w:color="auto"/>
        <w:left w:val="none" w:sz="0" w:space="0" w:color="auto"/>
        <w:bottom w:val="none" w:sz="0" w:space="0" w:color="auto"/>
        <w:right w:val="none" w:sz="0" w:space="0" w:color="auto"/>
      </w:divBdr>
    </w:div>
    <w:div w:id="695422158">
      <w:bodyDiv w:val="1"/>
      <w:marLeft w:val="0"/>
      <w:marRight w:val="0"/>
      <w:marTop w:val="0"/>
      <w:marBottom w:val="0"/>
      <w:divBdr>
        <w:top w:val="none" w:sz="0" w:space="0" w:color="auto"/>
        <w:left w:val="none" w:sz="0" w:space="0" w:color="auto"/>
        <w:bottom w:val="none" w:sz="0" w:space="0" w:color="auto"/>
        <w:right w:val="none" w:sz="0" w:space="0" w:color="auto"/>
      </w:divBdr>
    </w:div>
    <w:div w:id="710150533">
      <w:bodyDiv w:val="1"/>
      <w:marLeft w:val="0"/>
      <w:marRight w:val="0"/>
      <w:marTop w:val="0"/>
      <w:marBottom w:val="0"/>
      <w:divBdr>
        <w:top w:val="none" w:sz="0" w:space="0" w:color="auto"/>
        <w:left w:val="none" w:sz="0" w:space="0" w:color="auto"/>
        <w:bottom w:val="none" w:sz="0" w:space="0" w:color="auto"/>
        <w:right w:val="none" w:sz="0" w:space="0" w:color="auto"/>
      </w:divBdr>
      <w:divsChild>
        <w:div w:id="951060024">
          <w:marLeft w:val="0"/>
          <w:marRight w:val="0"/>
          <w:marTop w:val="0"/>
          <w:marBottom w:val="0"/>
          <w:divBdr>
            <w:top w:val="none" w:sz="0" w:space="0" w:color="auto"/>
            <w:left w:val="none" w:sz="0" w:space="0" w:color="auto"/>
            <w:bottom w:val="none" w:sz="0" w:space="0" w:color="auto"/>
            <w:right w:val="none" w:sz="0" w:space="0" w:color="auto"/>
          </w:divBdr>
        </w:div>
      </w:divsChild>
    </w:div>
    <w:div w:id="739668586">
      <w:bodyDiv w:val="1"/>
      <w:marLeft w:val="0"/>
      <w:marRight w:val="0"/>
      <w:marTop w:val="0"/>
      <w:marBottom w:val="0"/>
      <w:divBdr>
        <w:top w:val="none" w:sz="0" w:space="0" w:color="auto"/>
        <w:left w:val="none" w:sz="0" w:space="0" w:color="auto"/>
        <w:bottom w:val="none" w:sz="0" w:space="0" w:color="auto"/>
        <w:right w:val="none" w:sz="0" w:space="0" w:color="auto"/>
      </w:divBdr>
    </w:div>
    <w:div w:id="763720201">
      <w:bodyDiv w:val="1"/>
      <w:marLeft w:val="0"/>
      <w:marRight w:val="0"/>
      <w:marTop w:val="0"/>
      <w:marBottom w:val="0"/>
      <w:divBdr>
        <w:top w:val="none" w:sz="0" w:space="0" w:color="auto"/>
        <w:left w:val="none" w:sz="0" w:space="0" w:color="auto"/>
        <w:bottom w:val="none" w:sz="0" w:space="0" w:color="auto"/>
        <w:right w:val="none" w:sz="0" w:space="0" w:color="auto"/>
      </w:divBdr>
    </w:div>
    <w:div w:id="782067929">
      <w:bodyDiv w:val="1"/>
      <w:marLeft w:val="0"/>
      <w:marRight w:val="0"/>
      <w:marTop w:val="0"/>
      <w:marBottom w:val="0"/>
      <w:divBdr>
        <w:top w:val="none" w:sz="0" w:space="0" w:color="auto"/>
        <w:left w:val="none" w:sz="0" w:space="0" w:color="auto"/>
        <w:bottom w:val="none" w:sz="0" w:space="0" w:color="auto"/>
        <w:right w:val="none" w:sz="0" w:space="0" w:color="auto"/>
      </w:divBdr>
    </w:div>
    <w:div w:id="877859132">
      <w:bodyDiv w:val="1"/>
      <w:marLeft w:val="0"/>
      <w:marRight w:val="0"/>
      <w:marTop w:val="0"/>
      <w:marBottom w:val="0"/>
      <w:divBdr>
        <w:top w:val="none" w:sz="0" w:space="0" w:color="auto"/>
        <w:left w:val="none" w:sz="0" w:space="0" w:color="auto"/>
        <w:bottom w:val="none" w:sz="0" w:space="0" w:color="auto"/>
        <w:right w:val="none" w:sz="0" w:space="0" w:color="auto"/>
      </w:divBdr>
    </w:div>
    <w:div w:id="916742426">
      <w:bodyDiv w:val="1"/>
      <w:marLeft w:val="0"/>
      <w:marRight w:val="0"/>
      <w:marTop w:val="0"/>
      <w:marBottom w:val="0"/>
      <w:divBdr>
        <w:top w:val="none" w:sz="0" w:space="0" w:color="auto"/>
        <w:left w:val="none" w:sz="0" w:space="0" w:color="auto"/>
        <w:bottom w:val="none" w:sz="0" w:space="0" w:color="auto"/>
        <w:right w:val="none" w:sz="0" w:space="0" w:color="auto"/>
      </w:divBdr>
    </w:div>
    <w:div w:id="931167063">
      <w:bodyDiv w:val="1"/>
      <w:marLeft w:val="0"/>
      <w:marRight w:val="0"/>
      <w:marTop w:val="0"/>
      <w:marBottom w:val="0"/>
      <w:divBdr>
        <w:top w:val="none" w:sz="0" w:space="0" w:color="auto"/>
        <w:left w:val="none" w:sz="0" w:space="0" w:color="auto"/>
        <w:bottom w:val="none" w:sz="0" w:space="0" w:color="auto"/>
        <w:right w:val="none" w:sz="0" w:space="0" w:color="auto"/>
      </w:divBdr>
    </w:div>
    <w:div w:id="1008140931">
      <w:bodyDiv w:val="1"/>
      <w:marLeft w:val="0"/>
      <w:marRight w:val="0"/>
      <w:marTop w:val="0"/>
      <w:marBottom w:val="0"/>
      <w:divBdr>
        <w:top w:val="none" w:sz="0" w:space="0" w:color="auto"/>
        <w:left w:val="none" w:sz="0" w:space="0" w:color="auto"/>
        <w:bottom w:val="none" w:sz="0" w:space="0" w:color="auto"/>
        <w:right w:val="none" w:sz="0" w:space="0" w:color="auto"/>
      </w:divBdr>
    </w:div>
    <w:div w:id="1015813086">
      <w:bodyDiv w:val="1"/>
      <w:marLeft w:val="0"/>
      <w:marRight w:val="0"/>
      <w:marTop w:val="0"/>
      <w:marBottom w:val="0"/>
      <w:divBdr>
        <w:top w:val="none" w:sz="0" w:space="0" w:color="auto"/>
        <w:left w:val="none" w:sz="0" w:space="0" w:color="auto"/>
        <w:bottom w:val="none" w:sz="0" w:space="0" w:color="auto"/>
        <w:right w:val="none" w:sz="0" w:space="0" w:color="auto"/>
      </w:divBdr>
    </w:div>
    <w:div w:id="1047800073">
      <w:bodyDiv w:val="1"/>
      <w:marLeft w:val="0"/>
      <w:marRight w:val="0"/>
      <w:marTop w:val="0"/>
      <w:marBottom w:val="0"/>
      <w:divBdr>
        <w:top w:val="none" w:sz="0" w:space="0" w:color="auto"/>
        <w:left w:val="none" w:sz="0" w:space="0" w:color="auto"/>
        <w:bottom w:val="none" w:sz="0" w:space="0" w:color="auto"/>
        <w:right w:val="none" w:sz="0" w:space="0" w:color="auto"/>
      </w:divBdr>
    </w:div>
    <w:div w:id="1065838433">
      <w:bodyDiv w:val="1"/>
      <w:marLeft w:val="0"/>
      <w:marRight w:val="0"/>
      <w:marTop w:val="0"/>
      <w:marBottom w:val="0"/>
      <w:divBdr>
        <w:top w:val="none" w:sz="0" w:space="0" w:color="auto"/>
        <w:left w:val="none" w:sz="0" w:space="0" w:color="auto"/>
        <w:bottom w:val="none" w:sz="0" w:space="0" w:color="auto"/>
        <w:right w:val="none" w:sz="0" w:space="0" w:color="auto"/>
      </w:divBdr>
    </w:div>
    <w:div w:id="1066949150">
      <w:bodyDiv w:val="1"/>
      <w:marLeft w:val="0"/>
      <w:marRight w:val="0"/>
      <w:marTop w:val="0"/>
      <w:marBottom w:val="0"/>
      <w:divBdr>
        <w:top w:val="none" w:sz="0" w:space="0" w:color="auto"/>
        <w:left w:val="none" w:sz="0" w:space="0" w:color="auto"/>
        <w:bottom w:val="none" w:sz="0" w:space="0" w:color="auto"/>
        <w:right w:val="none" w:sz="0" w:space="0" w:color="auto"/>
      </w:divBdr>
    </w:div>
    <w:div w:id="1075397552">
      <w:bodyDiv w:val="1"/>
      <w:marLeft w:val="0"/>
      <w:marRight w:val="0"/>
      <w:marTop w:val="0"/>
      <w:marBottom w:val="0"/>
      <w:divBdr>
        <w:top w:val="none" w:sz="0" w:space="0" w:color="auto"/>
        <w:left w:val="none" w:sz="0" w:space="0" w:color="auto"/>
        <w:bottom w:val="none" w:sz="0" w:space="0" w:color="auto"/>
        <w:right w:val="none" w:sz="0" w:space="0" w:color="auto"/>
      </w:divBdr>
    </w:div>
    <w:div w:id="1077282912">
      <w:bodyDiv w:val="1"/>
      <w:marLeft w:val="0"/>
      <w:marRight w:val="0"/>
      <w:marTop w:val="0"/>
      <w:marBottom w:val="0"/>
      <w:divBdr>
        <w:top w:val="none" w:sz="0" w:space="0" w:color="auto"/>
        <w:left w:val="none" w:sz="0" w:space="0" w:color="auto"/>
        <w:bottom w:val="none" w:sz="0" w:space="0" w:color="auto"/>
        <w:right w:val="none" w:sz="0" w:space="0" w:color="auto"/>
      </w:divBdr>
    </w:div>
    <w:div w:id="1242106325">
      <w:bodyDiv w:val="1"/>
      <w:marLeft w:val="0"/>
      <w:marRight w:val="0"/>
      <w:marTop w:val="0"/>
      <w:marBottom w:val="0"/>
      <w:divBdr>
        <w:top w:val="none" w:sz="0" w:space="0" w:color="auto"/>
        <w:left w:val="none" w:sz="0" w:space="0" w:color="auto"/>
        <w:bottom w:val="none" w:sz="0" w:space="0" w:color="auto"/>
        <w:right w:val="none" w:sz="0" w:space="0" w:color="auto"/>
      </w:divBdr>
    </w:div>
    <w:div w:id="1266618359">
      <w:bodyDiv w:val="1"/>
      <w:marLeft w:val="0"/>
      <w:marRight w:val="0"/>
      <w:marTop w:val="0"/>
      <w:marBottom w:val="0"/>
      <w:divBdr>
        <w:top w:val="none" w:sz="0" w:space="0" w:color="auto"/>
        <w:left w:val="none" w:sz="0" w:space="0" w:color="auto"/>
        <w:bottom w:val="none" w:sz="0" w:space="0" w:color="auto"/>
        <w:right w:val="none" w:sz="0" w:space="0" w:color="auto"/>
      </w:divBdr>
    </w:div>
    <w:div w:id="1281692301">
      <w:bodyDiv w:val="1"/>
      <w:marLeft w:val="0"/>
      <w:marRight w:val="0"/>
      <w:marTop w:val="0"/>
      <w:marBottom w:val="0"/>
      <w:divBdr>
        <w:top w:val="none" w:sz="0" w:space="0" w:color="auto"/>
        <w:left w:val="none" w:sz="0" w:space="0" w:color="auto"/>
        <w:bottom w:val="none" w:sz="0" w:space="0" w:color="auto"/>
        <w:right w:val="none" w:sz="0" w:space="0" w:color="auto"/>
      </w:divBdr>
    </w:div>
    <w:div w:id="1292397239">
      <w:bodyDiv w:val="1"/>
      <w:marLeft w:val="0"/>
      <w:marRight w:val="0"/>
      <w:marTop w:val="0"/>
      <w:marBottom w:val="0"/>
      <w:divBdr>
        <w:top w:val="none" w:sz="0" w:space="0" w:color="auto"/>
        <w:left w:val="none" w:sz="0" w:space="0" w:color="auto"/>
        <w:bottom w:val="none" w:sz="0" w:space="0" w:color="auto"/>
        <w:right w:val="none" w:sz="0" w:space="0" w:color="auto"/>
      </w:divBdr>
    </w:div>
    <w:div w:id="1298337781">
      <w:bodyDiv w:val="1"/>
      <w:marLeft w:val="0"/>
      <w:marRight w:val="0"/>
      <w:marTop w:val="0"/>
      <w:marBottom w:val="0"/>
      <w:divBdr>
        <w:top w:val="none" w:sz="0" w:space="0" w:color="auto"/>
        <w:left w:val="none" w:sz="0" w:space="0" w:color="auto"/>
        <w:bottom w:val="none" w:sz="0" w:space="0" w:color="auto"/>
        <w:right w:val="none" w:sz="0" w:space="0" w:color="auto"/>
      </w:divBdr>
    </w:div>
    <w:div w:id="1351226164">
      <w:bodyDiv w:val="1"/>
      <w:marLeft w:val="0"/>
      <w:marRight w:val="0"/>
      <w:marTop w:val="0"/>
      <w:marBottom w:val="0"/>
      <w:divBdr>
        <w:top w:val="none" w:sz="0" w:space="0" w:color="auto"/>
        <w:left w:val="none" w:sz="0" w:space="0" w:color="auto"/>
        <w:bottom w:val="none" w:sz="0" w:space="0" w:color="auto"/>
        <w:right w:val="none" w:sz="0" w:space="0" w:color="auto"/>
      </w:divBdr>
    </w:div>
    <w:div w:id="1417943012">
      <w:bodyDiv w:val="1"/>
      <w:marLeft w:val="0"/>
      <w:marRight w:val="0"/>
      <w:marTop w:val="0"/>
      <w:marBottom w:val="0"/>
      <w:divBdr>
        <w:top w:val="none" w:sz="0" w:space="0" w:color="auto"/>
        <w:left w:val="none" w:sz="0" w:space="0" w:color="auto"/>
        <w:bottom w:val="none" w:sz="0" w:space="0" w:color="auto"/>
        <w:right w:val="none" w:sz="0" w:space="0" w:color="auto"/>
      </w:divBdr>
    </w:div>
    <w:div w:id="1465193666">
      <w:bodyDiv w:val="1"/>
      <w:marLeft w:val="0"/>
      <w:marRight w:val="0"/>
      <w:marTop w:val="0"/>
      <w:marBottom w:val="0"/>
      <w:divBdr>
        <w:top w:val="none" w:sz="0" w:space="0" w:color="auto"/>
        <w:left w:val="none" w:sz="0" w:space="0" w:color="auto"/>
        <w:bottom w:val="none" w:sz="0" w:space="0" w:color="auto"/>
        <w:right w:val="none" w:sz="0" w:space="0" w:color="auto"/>
      </w:divBdr>
    </w:div>
    <w:div w:id="1473714362">
      <w:bodyDiv w:val="1"/>
      <w:marLeft w:val="0"/>
      <w:marRight w:val="0"/>
      <w:marTop w:val="0"/>
      <w:marBottom w:val="0"/>
      <w:divBdr>
        <w:top w:val="none" w:sz="0" w:space="0" w:color="auto"/>
        <w:left w:val="none" w:sz="0" w:space="0" w:color="auto"/>
        <w:bottom w:val="none" w:sz="0" w:space="0" w:color="auto"/>
        <w:right w:val="none" w:sz="0" w:space="0" w:color="auto"/>
      </w:divBdr>
    </w:div>
    <w:div w:id="1482849590">
      <w:bodyDiv w:val="1"/>
      <w:marLeft w:val="0"/>
      <w:marRight w:val="0"/>
      <w:marTop w:val="0"/>
      <w:marBottom w:val="0"/>
      <w:divBdr>
        <w:top w:val="none" w:sz="0" w:space="0" w:color="auto"/>
        <w:left w:val="none" w:sz="0" w:space="0" w:color="auto"/>
        <w:bottom w:val="none" w:sz="0" w:space="0" w:color="auto"/>
        <w:right w:val="none" w:sz="0" w:space="0" w:color="auto"/>
      </w:divBdr>
    </w:div>
    <w:div w:id="1502967034">
      <w:bodyDiv w:val="1"/>
      <w:marLeft w:val="0"/>
      <w:marRight w:val="0"/>
      <w:marTop w:val="0"/>
      <w:marBottom w:val="0"/>
      <w:divBdr>
        <w:top w:val="none" w:sz="0" w:space="0" w:color="auto"/>
        <w:left w:val="none" w:sz="0" w:space="0" w:color="auto"/>
        <w:bottom w:val="none" w:sz="0" w:space="0" w:color="auto"/>
        <w:right w:val="none" w:sz="0" w:space="0" w:color="auto"/>
      </w:divBdr>
    </w:div>
    <w:div w:id="1529373645">
      <w:bodyDiv w:val="1"/>
      <w:marLeft w:val="0"/>
      <w:marRight w:val="0"/>
      <w:marTop w:val="0"/>
      <w:marBottom w:val="0"/>
      <w:divBdr>
        <w:top w:val="none" w:sz="0" w:space="0" w:color="auto"/>
        <w:left w:val="none" w:sz="0" w:space="0" w:color="auto"/>
        <w:bottom w:val="none" w:sz="0" w:space="0" w:color="auto"/>
        <w:right w:val="none" w:sz="0" w:space="0" w:color="auto"/>
      </w:divBdr>
    </w:div>
    <w:div w:id="1531525133">
      <w:bodyDiv w:val="1"/>
      <w:marLeft w:val="0"/>
      <w:marRight w:val="0"/>
      <w:marTop w:val="0"/>
      <w:marBottom w:val="0"/>
      <w:divBdr>
        <w:top w:val="none" w:sz="0" w:space="0" w:color="auto"/>
        <w:left w:val="none" w:sz="0" w:space="0" w:color="auto"/>
        <w:bottom w:val="none" w:sz="0" w:space="0" w:color="auto"/>
        <w:right w:val="none" w:sz="0" w:space="0" w:color="auto"/>
      </w:divBdr>
    </w:div>
    <w:div w:id="1567106423">
      <w:bodyDiv w:val="1"/>
      <w:marLeft w:val="0"/>
      <w:marRight w:val="0"/>
      <w:marTop w:val="0"/>
      <w:marBottom w:val="0"/>
      <w:divBdr>
        <w:top w:val="none" w:sz="0" w:space="0" w:color="auto"/>
        <w:left w:val="none" w:sz="0" w:space="0" w:color="auto"/>
        <w:bottom w:val="none" w:sz="0" w:space="0" w:color="auto"/>
        <w:right w:val="none" w:sz="0" w:space="0" w:color="auto"/>
      </w:divBdr>
    </w:div>
    <w:div w:id="1647318864">
      <w:bodyDiv w:val="1"/>
      <w:marLeft w:val="0"/>
      <w:marRight w:val="0"/>
      <w:marTop w:val="0"/>
      <w:marBottom w:val="0"/>
      <w:divBdr>
        <w:top w:val="none" w:sz="0" w:space="0" w:color="auto"/>
        <w:left w:val="none" w:sz="0" w:space="0" w:color="auto"/>
        <w:bottom w:val="none" w:sz="0" w:space="0" w:color="auto"/>
        <w:right w:val="none" w:sz="0" w:space="0" w:color="auto"/>
      </w:divBdr>
    </w:div>
    <w:div w:id="1689678575">
      <w:bodyDiv w:val="1"/>
      <w:marLeft w:val="0"/>
      <w:marRight w:val="0"/>
      <w:marTop w:val="0"/>
      <w:marBottom w:val="0"/>
      <w:divBdr>
        <w:top w:val="none" w:sz="0" w:space="0" w:color="auto"/>
        <w:left w:val="none" w:sz="0" w:space="0" w:color="auto"/>
        <w:bottom w:val="none" w:sz="0" w:space="0" w:color="auto"/>
        <w:right w:val="none" w:sz="0" w:space="0" w:color="auto"/>
      </w:divBdr>
    </w:div>
    <w:div w:id="1700007326">
      <w:bodyDiv w:val="1"/>
      <w:marLeft w:val="0"/>
      <w:marRight w:val="0"/>
      <w:marTop w:val="0"/>
      <w:marBottom w:val="0"/>
      <w:divBdr>
        <w:top w:val="none" w:sz="0" w:space="0" w:color="auto"/>
        <w:left w:val="none" w:sz="0" w:space="0" w:color="auto"/>
        <w:bottom w:val="none" w:sz="0" w:space="0" w:color="auto"/>
        <w:right w:val="none" w:sz="0" w:space="0" w:color="auto"/>
      </w:divBdr>
    </w:div>
    <w:div w:id="1718236697">
      <w:bodyDiv w:val="1"/>
      <w:marLeft w:val="0"/>
      <w:marRight w:val="0"/>
      <w:marTop w:val="0"/>
      <w:marBottom w:val="0"/>
      <w:divBdr>
        <w:top w:val="none" w:sz="0" w:space="0" w:color="auto"/>
        <w:left w:val="none" w:sz="0" w:space="0" w:color="auto"/>
        <w:bottom w:val="none" w:sz="0" w:space="0" w:color="auto"/>
        <w:right w:val="none" w:sz="0" w:space="0" w:color="auto"/>
      </w:divBdr>
    </w:div>
    <w:div w:id="1740401949">
      <w:bodyDiv w:val="1"/>
      <w:marLeft w:val="0"/>
      <w:marRight w:val="0"/>
      <w:marTop w:val="0"/>
      <w:marBottom w:val="0"/>
      <w:divBdr>
        <w:top w:val="none" w:sz="0" w:space="0" w:color="auto"/>
        <w:left w:val="none" w:sz="0" w:space="0" w:color="auto"/>
        <w:bottom w:val="none" w:sz="0" w:space="0" w:color="auto"/>
        <w:right w:val="none" w:sz="0" w:space="0" w:color="auto"/>
      </w:divBdr>
    </w:div>
    <w:div w:id="1782526721">
      <w:bodyDiv w:val="1"/>
      <w:marLeft w:val="0"/>
      <w:marRight w:val="0"/>
      <w:marTop w:val="0"/>
      <w:marBottom w:val="0"/>
      <w:divBdr>
        <w:top w:val="none" w:sz="0" w:space="0" w:color="auto"/>
        <w:left w:val="none" w:sz="0" w:space="0" w:color="auto"/>
        <w:bottom w:val="none" w:sz="0" w:space="0" w:color="auto"/>
        <w:right w:val="none" w:sz="0" w:space="0" w:color="auto"/>
      </w:divBdr>
    </w:div>
    <w:div w:id="1786577098">
      <w:bodyDiv w:val="1"/>
      <w:marLeft w:val="0"/>
      <w:marRight w:val="0"/>
      <w:marTop w:val="0"/>
      <w:marBottom w:val="0"/>
      <w:divBdr>
        <w:top w:val="none" w:sz="0" w:space="0" w:color="auto"/>
        <w:left w:val="none" w:sz="0" w:space="0" w:color="auto"/>
        <w:bottom w:val="none" w:sz="0" w:space="0" w:color="auto"/>
        <w:right w:val="none" w:sz="0" w:space="0" w:color="auto"/>
      </w:divBdr>
    </w:div>
    <w:div w:id="1792163561">
      <w:bodyDiv w:val="1"/>
      <w:marLeft w:val="0"/>
      <w:marRight w:val="0"/>
      <w:marTop w:val="0"/>
      <w:marBottom w:val="0"/>
      <w:divBdr>
        <w:top w:val="none" w:sz="0" w:space="0" w:color="auto"/>
        <w:left w:val="none" w:sz="0" w:space="0" w:color="auto"/>
        <w:bottom w:val="none" w:sz="0" w:space="0" w:color="auto"/>
        <w:right w:val="none" w:sz="0" w:space="0" w:color="auto"/>
      </w:divBdr>
    </w:div>
    <w:div w:id="1794707414">
      <w:bodyDiv w:val="1"/>
      <w:marLeft w:val="0"/>
      <w:marRight w:val="0"/>
      <w:marTop w:val="0"/>
      <w:marBottom w:val="0"/>
      <w:divBdr>
        <w:top w:val="none" w:sz="0" w:space="0" w:color="auto"/>
        <w:left w:val="none" w:sz="0" w:space="0" w:color="auto"/>
        <w:bottom w:val="none" w:sz="0" w:space="0" w:color="auto"/>
        <w:right w:val="none" w:sz="0" w:space="0" w:color="auto"/>
      </w:divBdr>
    </w:div>
    <w:div w:id="1800222667">
      <w:bodyDiv w:val="1"/>
      <w:marLeft w:val="0"/>
      <w:marRight w:val="0"/>
      <w:marTop w:val="0"/>
      <w:marBottom w:val="0"/>
      <w:divBdr>
        <w:top w:val="none" w:sz="0" w:space="0" w:color="auto"/>
        <w:left w:val="none" w:sz="0" w:space="0" w:color="auto"/>
        <w:bottom w:val="none" w:sz="0" w:space="0" w:color="auto"/>
        <w:right w:val="none" w:sz="0" w:space="0" w:color="auto"/>
      </w:divBdr>
    </w:div>
    <w:div w:id="1858353070">
      <w:bodyDiv w:val="1"/>
      <w:marLeft w:val="0"/>
      <w:marRight w:val="0"/>
      <w:marTop w:val="0"/>
      <w:marBottom w:val="0"/>
      <w:divBdr>
        <w:top w:val="none" w:sz="0" w:space="0" w:color="auto"/>
        <w:left w:val="none" w:sz="0" w:space="0" w:color="auto"/>
        <w:bottom w:val="none" w:sz="0" w:space="0" w:color="auto"/>
        <w:right w:val="none" w:sz="0" w:space="0" w:color="auto"/>
      </w:divBdr>
    </w:div>
    <w:div w:id="1871841018">
      <w:bodyDiv w:val="1"/>
      <w:marLeft w:val="0"/>
      <w:marRight w:val="0"/>
      <w:marTop w:val="0"/>
      <w:marBottom w:val="0"/>
      <w:divBdr>
        <w:top w:val="none" w:sz="0" w:space="0" w:color="auto"/>
        <w:left w:val="none" w:sz="0" w:space="0" w:color="auto"/>
        <w:bottom w:val="none" w:sz="0" w:space="0" w:color="auto"/>
        <w:right w:val="none" w:sz="0" w:space="0" w:color="auto"/>
      </w:divBdr>
    </w:div>
    <w:div w:id="1940094750">
      <w:bodyDiv w:val="1"/>
      <w:marLeft w:val="0"/>
      <w:marRight w:val="0"/>
      <w:marTop w:val="0"/>
      <w:marBottom w:val="0"/>
      <w:divBdr>
        <w:top w:val="none" w:sz="0" w:space="0" w:color="auto"/>
        <w:left w:val="none" w:sz="0" w:space="0" w:color="auto"/>
        <w:bottom w:val="none" w:sz="0" w:space="0" w:color="auto"/>
        <w:right w:val="none" w:sz="0" w:space="0" w:color="auto"/>
      </w:divBdr>
      <w:divsChild>
        <w:div w:id="12344369">
          <w:marLeft w:val="0"/>
          <w:marRight w:val="0"/>
          <w:marTop w:val="0"/>
          <w:marBottom w:val="0"/>
          <w:divBdr>
            <w:top w:val="none" w:sz="0" w:space="0" w:color="auto"/>
            <w:left w:val="none" w:sz="0" w:space="0" w:color="auto"/>
            <w:bottom w:val="none" w:sz="0" w:space="0" w:color="auto"/>
            <w:right w:val="none" w:sz="0" w:space="0" w:color="auto"/>
          </w:divBdr>
        </w:div>
        <w:div w:id="558253041">
          <w:marLeft w:val="0"/>
          <w:marRight w:val="0"/>
          <w:marTop w:val="0"/>
          <w:marBottom w:val="0"/>
          <w:divBdr>
            <w:top w:val="none" w:sz="0" w:space="0" w:color="auto"/>
            <w:left w:val="none" w:sz="0" w:space="0" w:color="auto"/>
            <w:bottom w:val="none" w:sz="0" w:space="0" w:color="auto"/>
            <w:right w:val="none" w:sz="0" w:space="0" w:color="auto"/>
          </w:divBdr>
        </w:div>
        <w:div w:id="790900196">
          <w:marLeft w:val="0"/>
          <w:marRight w:val="0"/>
          <w:marTop w:val="0"/>
          <w:marBottom w:val="0"/>
          <w:divBdr>
            <w:top w:val="none" w:sz="0" w:space="0" w:color="auto"/>
            <w:left w:val="none" w:sz="0" w:space="0" w:color="auto"/>
            <w:bottom w:val="none" w:sz="0" w:space="0" w:color="auto"/>
            <w:right w:val="none" w:sz="0" w:space="0" w:color="auto"/>
          </w:divBdr>
        </w:div>
        <w:div w:id="1959411025">
          <w:marLeft w:val="0"/>
          <w:marRight w:val="0"/>
          <w:marTop w:val="0"/>
          <w:marBottom w:val="0"/>
          <w:divBdr>
            <w:top w:val="none" w:sz="0" w:space="0" w:color="auto"/>
            <w:left w:val="none" w:sz="0" w:space="0" w:color="auto"/>
            <w:bottom w:val="none" w:sz="0" w:space="0" w:color="auto"/>
            <w:right w:val="none" w:sz="0" w:space="0" w:color="auto"/>
          </w:divBdr>
        </w:div>
        <w:div w:id="2034187014">
          <w:marLeft w:val="0"/>
          <w:marRight w:val="0"/>
          <w:marTop w:val="0"/>
          <w:marBottom w:val="0"/>
          <w:divBdr>
            <w:top w:val="none" w:sz="0" w:space="0" w:color="auto"/>
            <w:left w:val="none" w:sz="0" w:space="0" w:color="auto"/>
            <w:bottom w:val="none" w:sz="0" w:space="0" w:color="auto"/>
            <w:right w:val="none" w:sz="0" w:space="0" w:color="auto"/>
          </w:divBdr>
        </w:div>
      </w:divsChild>
    </w:div>
    <w:div w:id="1960256145">
      <w:bodyDiv w:val="1"/>
      <w:marLeft w:val="0"/>
      <w:marRight w:val="0"/>
      <w:marTop w:val="0"/>
      <w:marBottom w:val="0"/>
      <w:divBdr>
        <w:top w:val="none" w:sz="0" w:space="0" w:color="auto"/>
        <w:left w:val="none" w:sz="0" w:space="0" w:color="auto"/>
        <w:bottom w:val="none" w:sz="0" w:space="0" w:color="auto"/>
        <w:right w:val="none" w:sz="0" w:space="0" w:color="auto"/>
      </w:divBdr>
    </w:div>
    <w:div w:id="1977907056">
      <w:bodyDiv w:val="1"/>
      <w:marLeft w:val="0"/>
      <w:marRight w:val="0"/>
      <w:marTop w:val="0"/>
      <w:marBottom w:val="0"/>
      <w:divBdr>
        <w:top w:val="none" w:sz="0" w:space="0" w:color="auto"/>
        <w:left w:val="none" w:sz="0" w:space="0" w:color="auto"/>
        <w:bottom w:val="none" w:sz="0" w:space="0" w:color="auto"/>
        <w:right w:val="none" w:sz="0" w:space="0" w:color="auto"/>
      </w:divBdr>
    </w:div>
    <w:div w:id="2007593421">
      <w:bodyDiv w:val="1"/>
      <w:marLeft w:val="0"/>
      <w:marRight w:val="0"/>
      <w:marTop w:val="0"/>
      <w:marBottom w:val="0"/>
      <w:divBdr>
        <w:top w:val="none" w:sz="0" w:space="0" w:color="auto"/>
        <w:left w:val="none" w:sz="0" w:space="0" w:color="auto"/>
        <w:bottom w:val="none" w:sz="0" w:space="0" w:color="auto"/>
        <w:right w:val="none" w:sz="0" w:space="0" w:color="auto"/>
      </w:divBdr>
    </w:div>
    <w:div w:id="2073576405">
      <w:bodyDiv w:val="1"/>
      <w:marLeft w:val="0"/>
      <w:marRight w:val="0"/>
      <w:marTop w:val="0"/>
      <w:marBottom w:val="0"/>
      <w:divBdr>
        <w:top w:val="none" w:sz="0" w:space="0" w:color="auto"/>
        <w:left w:val="none" w:sz="0" w:space="0" w:color="auto"/>
        <w:bottom w:val="none" w:sz="0" w:space="0" w:color="auto"/>
        <w:right w:val="none" w:sz="0" w:space="0" w:color="auto"/>
      </w:divBdr>
    </w:div>
    <w:div w:id="2114279664">
      <w:bodyDiv w:val="1"/>
      <w:marLeft w:val="0"/>
      <w:marRight w:val="0"/>
      <w:marTop w:val="0"/>
      <w:marBottom w:val="0"/>
      <w:divBdr>
        <w:top w:val="none" w:sz="0" w:space="0" w:color="auto"/>
        <w:left w:val="none" w:sz="0" w:space="0" w:color="auto"/>
        <w:bottom w:val="none" w:sz="0" w:space="0" w:color="auto"/>
        <w:right w:val="none" w:sz="0" w:space="0" w:color="auto"/>
      </w:divBdr>
    </w:div>
    <w:div w:id="21455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5A06F8C-6331-485B-B60A-B88CF37A84EA}">
  <ds:schemaRefs>
    <ds:schemaRef ds:uri="http://schemas.openxmlformats.org/officeDocument/2006/bibliography"/>
  </ds:schemaRefs>
</ds:datastoreItem>
</file>

<file path=customXml/itemProps2.xml><?xml version="1.0" encoding="utf-8"?>
<ds:datastoreItem xmlns:ds="http://schemas.openxmlformats.org/officeDocument/2006/customXml" ds:itemID="{6B10304C-1AFF-46BF-9B39-030870A78962}"/>
</file>

<file path=customXml/itemProps3.xml><?xml version="1.0" encoding="utf-8"?>
<ds:datastoreItem xmlns:ds="http://schemas.openxmlformats.org/officeDocument/2006/customXml" ds:itemID="{B9BF017F-A285-4D41-A326-8C95FF7CCDAA}"/>
</file>

<file path=customXml/itemProps4.xml><?xml version="1.0" encoding="utf-8"?>
<ds:datastoreItem xmlns:ds="http://schemas.openxmlformats.org/officeDocument/2006/customXml" ds:itemID="{A30FF1D4-F87F-45D7-A604-AA8A8D23F74B}"/>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4572</Characters>
  <Application>Microsoft Office Word</Application>
  <DocSecurity>4</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Chapitre A - Arrêté du budget</vt:lpstr>
      <vt:lpstr>Chapitre A - Arrêté du budget</vt:lpstr>
    </vt:vector>
  </TitlesOfParts>
  <Company>**************************</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ifincbs</dc:creator>
  <cp:keywords/>
  <cp:lastModifiedBy>SYSTEM</cp:lastModifiedBy>
  <cp:revision>2</cp:revision>
  <cp:lastPrinted>2019-11-27T14:50:00Z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0x0101009AD48296FC59154C86E57830F1108F5800205CDB3668D96E44868C86FFB81C2782</vt:lpwstr>
  </property>
</Properties>
</file>