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F3BFE" w:rsidRPr="00A94031" w:rsidRDefault="00461F0D" w:rsidP="00461F0D">
      <w:pPr>
        <w:tabs>
          <w:tab w:val="center" w:pos="4536"/>
          <w:tab w:val="left" w:pos="5265"/>
        </w:tabs>
        <w:rPr>
          <w:rFonts w:ascii="Arial" w:hAnsi="Arial" w:cs="Arial"/>
          <w:b/>
        </w:rPr>
      </w:pPr>
      <w:bookmarkStart w:id="0" w:name="_GoBack"/>
      <w:bookmarkEnd w:id="0"/>
      <w:r w:rsidRPr="00461F0D">
        <w:rPr>
          <w:rFonts w:ascii="Arial" w:hAnsi="Arial" w:cs="Arial"/>
          <w:b/>
        </w:rPr>
        <w:tab/>
      </w:r>
      <w:r w:rsidR="00DC4482">
        <w:rPr>
          <w:rFonts w:ascii="Arial" w:hAnsi="Arial" w:cs="Arial"/>
          <w:b/>
        </w:rPr>
        <w:t>7</w:t>
      </w:r>
      <w:r w:rsidR="00CC386B">
        <w:rPr>
          <w:rFonts w:ascii="Arial" w:hAnsi="Arial" w:cs="Arial"/>
          <w:b/>
        </w:rPr>
        <w:t>4</w:t>
      </w:r>
      <w:r w:rsidR="007B6EC8">
        <w:rPr>
          <w:rFonts w:ascii="Arial" w:hAnsi="Arial" w:cs="Arial"/>
          <w:b/>
        </w:rPr>
        <w:t>98</w:t>
      </w:r>
      <w:r w:rsidRPr="00A94031">
        <w:rPr>
          <w:rFonts w:ascii="Arial" w:hAnsi="Arial" w:cs="Arial"/>
          <w:b/>
        </w:rPr>
        <w:tab/>
      </w:r>
    </w:p>
    <w:p w:rsidR="00791AA4" w:rsidRDefault="00791AA4" w:rsidP="00791AA4">
      <w:pPr>
        <w:jc w:val="center"/>
        <w:rPr>
          <w:rFonts w:ascii="Arial" w:hAnsi="Arial" w:cs="Arial"/>
          <w:b/>
          <w:sz w:val="22"/>
          <w:szCs w:val="22"/>
        </w:rPr>
      </w:pPr>
    </w:p>
    <w:p w:rsidR="00593EEF" w:rsidRPr="00593EEF" w:rsidRDefault="00593EEF" w:rsidP="00593EEF">
      <w:pPr>
        <w:tabs>
          <w:tab w:val="left" w:pos="1701"/>
        </w:tabs>
        <w:autoSpaceDE w:val="0"/>
        <w:autoSpaceDN w:val="0"/>
        <w:adjustRightInd w:val="0"/>
        <w:ind w:left="1440" w:right="-2" w:hanging="1440"/>
        <w:jc w:val="center"/>
        <w:rPr>
          <w:rFonts w:ascii="Arial" w:hAnsi="Arial" w:cs="Arial"/>
          <w:b/>
        </w:rPr>
      </w:pPr>
      <w:r w:rsidRPr="00593EEF">
        <w:rPr>
          <w:rFonts w:ascii="Arial" w:hAnsi="Arial" w:cs="Arial"/>
          <w:b/>
        </w:rPr>
        <w:t>PROJET DE LOI</w:t>
      </w:r>
    </w:p>
    <w:p w:rsidR="00593EEF" w:rsidRPr="00593EEF" w:rsidRDefault="00593EEF" w:rsidP="00593EEF">
      <w:pPr>
        <w:rPr>
          <w:rFonts w:cs="Arial"/>
          <w:b/>
        </w:rPr>
      </w:pPr>
    </w:p>
    <w:p w:rsidR="00CC386B" w:rsidRPr="00CC386B" w:rsidRDefault="00C619B4" w:rsidP="00CC386B">
      <w:pPr>
        <w:jc w:val="center"/>
        <w:rPr>
          <w:rFonts w:ascii="Arial" w:hAnsi="Arial" w:cs="Arial"/>
          <w:b/>
        </w:rPr>
      </w:pPr>
      <w:r w:rsidRPr="00C619B4">
        <w:rPr>
          <w:rFonts w:ascii="Arial" w:hAnsi="Arial" w:cs="Arial"/>
          <w:b/>
        </w:rPr>
        <w:t xml:space="preserve">portant modification </w:t>
      </w:r>
      <w:r w:rsidR="00CC386B" w:rsidRPr="00CC386B">
        <w:rPr>
          <w:rFonts w:ascii="Arial" w:hAnsi="Arial" w:cs="Arial"/>
          <w:b/>
        </w:rPr>
        <w:t>de la loi modifiée du 18 juillet 2018 sur la Police grand-ducale</w:t>
      </w:r>
    </w:p>
    <w:p w:rsidR="0004332C" w:rsidRDefault="0004332C" w:rsidP="00DC4482">
      <w:pPr>
        <w:spacing w:after="200" w:line="252" w:lineRule="auto"/>
        <w:jc w:val="center"/>
        <w:rPr>
          <w:rFonts w:ascii="Arial" w:hAnsi="Arial" w:cs="Arial"/>
          <w:b/>
          <w:sz w:val="22"/>
          <w:szCs w:val="22"/>
          <w:lang w:eastAsia="en-US"/>
        </w:rPr>
      </w:pPr>
    </w:p>
    <w:p w:rsidR="00DD2926" w:rsidRDefault="0041654B" w:rsidP="0041654B">
      <w:pPr>
        <w:jc w:val="both"/>
        <w:rPr>
          <w:rFonts w:ascii="Arial" w:hAnsi="Arial" w:cs="Arial"/>
          <w:sz w:val="22"/>
          <w:szCs w:val="22"/>
        </w:rPr>
      </w:pPr>
      <w:r w:rsidRPr="0041654B">
        <w:rPr>
          <w:rFonts w:ascii="Arial" w:hAnsi="Arial" w:cs="Arial"/>
          <w:sz w:val="22"/>
          <w:szCs w:val="22"/>
        </w:rPr>
        <w:t xml:space="preserve">Le projet de loi </w:t>
      </w:r>
      <w:r>
        <w:rPr>
          <w:rFonts w:ascii="Arial" w:hAnsi="Arial" w:cs="Arial"/>
          <w:sz w:val="22"/>
          <w:szCs w:val="22"/>
        </w:rPr>
        <w:t>pose</w:t>
      </w:r>
      <w:r w:rsidRPr="0041654B">
        <w:rPr>
          <w:rFonts w:ascii="Arial" w:hAnsi="Arial" w:cs="Arial"/>
          <w:sz w:val="22"/>
          <w:szCs w:val="22"/>
        </w:rPr>
        <w:t xml:space="preserve"> </w:t>
      </w:r>
      <w:r w:rsidRPr="0041654B">
        <w:rPr>
          <w:rFonts w:ascii="Arial" w:hAnsi="Arial" w:cs="Arial"/>
          <w:sz w:val="22"/>
          <w:szCs w:val="22"/>
          <w:lang w:val="fr-LU"/>
        </w:rPr>
        <w:t xml:space="preserve">le cadre général du recours à la vidéosurveillance </w:t>
      </w:r>
      <w:r>
        <w:rPr>
          <w:rFonts w:ascii="Arial" w:hAnsi="Arial" w:cs="Arial"/>
          <w:sz w:val="22"/>
          <w:szCs w:val="22"/>
          <w:lang w:val="fr-LU"/>
        </w:rPr>
        <w:t xml:space="preserve">exploitée par la Police </w:t>
      </w:r>
      <w:r w:rsidRPr="0041654B">
        <w:rPr>
          <w:rFonts w:ascii="Arial" w:hAnsi="Arial" w:cs="Arial"/>
          <w:sz w:val="22"/>
          <w:szCs w:val="22"/>
          <w:lang w:val="fr-LU"/>
        </w:rPr>
        <w:t>dans le cadre de</w:t>
      </w:r>
      <w:r>
        <w:rPr>
          <w:rFonts w:ascii="Arial" w:hAnsi="Arial" w:cs="Arial"/>
          <w:sz w:val="22"/>
          <w:szCs w:val="22"/>
          <w:lang w:val="fr-LU"/>
        </w:rPr>
        <w:t xml:space="preserve"> se</w:t>
      </w:r>
      <w:r w:rsidRPr="0041654B">
        <w:rPr>
          <w:rFonts w:ascii="Arial" w:hAnsi="Arial" w:cs="Arial"/>
          <w:sz w:val="22"/>
          <w:szCs w:val="22"/>
          <w:lang w:val="fr-LU"/>
        </w:rPr>
        <w:t xml:space="preserve">s missions de police administrative et de police judiciaire telles que définies aux articles 3 et 18 de la loi </w:t>
      </w:r>
      <w:r>
        <w:rPr>
          <w:rFonts w:ascii="Arial" w:hAnsi="Arial" w:cs="Arial"/>
          <w:sz w:val="22"/>
          <w:szCs w:val="22"/>
          <w:lang w:val="fr-LU"/>
        </w:rPr>
        <w:t>modifiée</w:t>
      </w:r>
      <w:r w:rsidRPr="0041654B">
        <w:rPr>
          <w:rFonts w:ascii="Arial" w:hAnsi="Arial" w:cs="Arial"/>
          <w:sz w:val="22"/>
          <w:szCs w:val="22"/>
          <w:lang w:val="fr-LU"/>
        </w:rPr>
        <w:t xml:space="preserve"> du 18 juillet 2018 </w:t>
      </w:r>
      <w:r w:rsidRPr="0041654B">
        <w:rPr>
          <w:rFonts w:ascii="Arial" w:hAnsi="Arial" w:cs="Arial"/>
          <w:sz w:val="22"/>
          <w:szCs w:val="22"/>
        </w:rPr>
        <w:t>sur la Police grand-ducale</w:t>
      </w:r>
      <w:r w:rsidR="00600C84">
        <w:rPr>
          <w:rFonts w:ascii="Arial" w:hAnsi="Arial" w:cs="Arial"/>
          <w:sz w:val="22"/>
          <w:szCs w:val="22"/>
        </w:rPr>
        <w:t xml:space="preserve">. </w:t>
      </w:r>
    </w:p>
    <w:p w:rsidR="00DD2926" w:rsidRDefault="00DD2926" w:rsidP="0041654B">
      <w:pPr>
        <w:jc w:val="both"/>
        <w:rPr>
          <w:rFonts w:ascii="Arial" w:hAnsi="Arial" w:cs="Arial"/>
          <w:sz w:val="22"/>
          <w:szCs w:val="22"/>
        </w:rPr>
      </w:pPr>
    </w:p>
    <w:p w:rsidR="00DD2926" w:rsidRDefault="00DD2926" w:rsidP="0041654B">
      <w:pPr>
        <w:jc w:val="both"/>
        <w:rPr>
          <w:rFonts w:ascii="Arial" w:hAnsi="Arial" w:cs="Arial"/>
          <w:sz w:val="22"/>
          <w:szCs w:val="22"/>
        </w:rPr>
      </w:pPr>
      <w:r>
        <w:rPr>
          <w:rFonts w:ascii="Arial" w:hAnsi="Arial" w:cs="Arial"/>
          <w:sz w:val="22"/>
          <w:szCs w:val="22"/>
        </w:rPr>
        <w:t>L</w:t>
      </w:r>
      <w:r w:rsidRPr="00DD2926">
        <w:rPr>
          <w:rFonts w:ascii="Arial" w:hAnsi="Arial" w:cs="Arial"/>
          <w:sz w:val="22"/>
          <w:szCs w:val="22"/>
        </w:rPr>
        <w:t>a vidéosurveillance comporte trois volets : le premier est celui du recours à la vidéosurveillance, c’est-à-dire de la question de savoir quand et sous quelles conditions y avoir recours ; le deuxième volet est relatif à la protection des données, les conditions et la durée de conservation des enregistrements étant à déterminer clairement ; les droits des citoyens constituent le troisième volet, l’accès des citoyens aux données qui les concernent nécessitant une réglementation précise. Le règlement grand-ducal du 1</w:t>
      </w:r>
      <w:r w:rsidRPr="00A33C2E">
        <w:rPr>
          <w:rFonts w:ascii="Arial" w:hAnsi="Arial" w:cs="Arial"/>
          <w:sz w:val="22"/>
          <w:szCs w:val="22"/>
          <w:vertAlign w:val="superscript"/>
        </w:rPr>
        <w:t>er</w:t>
      </w:r>
      <w:r w:rsidRPr="00DD2926">
        <w:rPr>
          <w:rFonts w:ascii="Arial" w:hAnsi="Arial" w:cs="Arial"/>
          <w:sz w:val="22"/>
          <w:szCs w:val="22"/>
        </w:rPr>
        <w:t xml:space="preserve"> août 2007 autorisant la création et l’exploitation par la Police d’un système de vidéosurveillance des zones de sécurité, pris en exécution de la loi du 2 août 2002 relative à la protection des personnes à l’égard du traitement des données à caractère personnel, manquait de précision sur certains points, notamment celui des cas et des conditions du recours à la vidéosurveillance</w:t>
      </w:r>
      <w:r w:rsidR="00030C03">
        <w:rPr>
          <w:rFonts w:ascii="Arial" w:hAnsi="Arial" w:cs="Arial"/>
          <w:sz w:val="22"/>
          <w:szCs w:val="22"/>
        </w:rPr>
        <w:t xml:space="preserve">. </w:t>
      </w:r>
    </w:p>
    <w:p w:rsidR="00030C03" w:rsidRDefault="00030C03" w:rsidP="0041654B">
      <w:pPr>
        <w:jc w:val="both"/>
        <w:rPr>
          <w:rFonts w:ascii="Arial" w:hAnsi="Arial" w:cs="Arial"/>
          <w:sz w:val="22"/>
          <w:szCs w:val="22"/>
        </w:rPr>
      </w:pPr>
    </w:p>
    <w:p w:rsidR="00030C03" w:rsidRDefault="00030C03" w:rsidP="00030C03">
      <w:pPr>
        <w:jc w:val="both"/>
        <w:rPr>
          <w:rFonts w:ascii="Arial" w:hAnsi="Arial" w:cs="Arial"/>
          <w:sz w:val="22"/>
          <w:szCs w:val="22"/>
        </w:rPr>
      </w:pPr>
      <w:r w:rsidRPr="00030C03">
        <w:rPr>
          <w:rFonts w:ascii="Arial" w:hAnsi="Arial" w:cs="Arial"/>
          <w:sz w:val="22"/>
          <w:szCs w:val="22"/>
        </w:rPr>
        <w:t>Avec la loi du 1</w:t>
      </w:r>
      <w:r w:rsidRPr="00030C03">
        <w:rPr>
          <w:rFonts w:ascii="Arial" w:hAnsi="Arial" w:cs="Arial"/>
          <w:sz w:val="22"/>
          <w:szCs w:val="22"/>
          <w:vertAlign w:val="superscript"/>
        </w:rPr>
        <w:t>er</w:t>
      </w:r>
      <w:r w:rsidRPr="00030C03">
        <w:rPr>
          <w:rFonts w:ascii="Arial" w:hAnsi="Arial" w:cs="Arial"/>
          <w:sz w:val="22"/>
          <w:szCs w:val="22"/>
        </w:rPr>
        <w:t xml:space="preserve"> août 2018 portant organisation de la Commission nationale pour la protection des données et du régime général sur la protection des données, une nouvelle culture de traitement des données, avec une vue différente sur les droits des citoyens, a été introduite, se fondant sur la directive (UE) n° 2016/680</w:t>
      </w:r>
      <w:r w:rsidR="00050D21">
        <w:rPr>
          <w:rStyle w:val="Appelnotedebasdep"/>
          <w:rFonts w:ascii="Arial" w:hAnsi="Arial"/>
          <w:sz w:val="22"/>
          <w:szCs w:val="22"/>
        </w:rPr>
        <w:footnoteReference w:id="1"/>
      </w:r>
      <w:r w:rsidRPr="00030C03">
        <w:rPr>
          <w:rFonts w:ascii="Arial" w:hAnsi="Arial" w:cs="Arial"/>
          <w:sz w:val="22"/>
          <w:szCs w:val="22"/>
        </w:rPr>
        <w:t>. Si la philosophie au début de l’entrée en vigueur de la loi de 2018 consistait à considérer celle-ci comme le cadre légal, dont les dispositions d’exécution seraient à prendre par les autorités concernées, parmi lesquelles la Police, une législation spécifique déterminant clairement et de manière transparente les règles à appliquer, en particulier dans une matière sensible comme la vidéosurveillance</w:t>
      </w:r>
      <w:r>
        <w:rPr>
          <w:rFonts w:ascii="Arial" w:hAnsi="Arial" w:cs="Arial"/>
          <w:sz w:val="22"/>
          <w:szCs w:val="22"/>
        </w:rPr>
        <w:t>, a été préférée</w:t>
      </w:r>
      <w:r w:rsidRPr="00030C03">
        <w:rPr>
          <w:rFonts w:ascii="Arial" w:hAnsi="Arial" w:cs="Arial"/>
          <w:sz w:val="22"/>
          <w:szCs w:val="22"/>
        </w:rPr>
        <w:t>.</w:t>
      </w:r>
      <w:r w:rsidR="00CD7999" w:rsidRPr="00CD7999">
        <w:t xml:space="preserve"> </w:t>
      </w:r>
      <w:r w:rsidR="00CD7999" w:rsidRPr="00CD7999">
        <w:rPr>
          <w:rFonts w:ascii="Arial" w:hAnsi="Arial" w:cs="Arial"/>
          <w:sz w:val="22"/>
          <w:szCs w:val="22"/>
        </w:rPr>
        <w:t>Par l’entrée en vigueur de la loi du 1</w:t>
      </w:r>
      <w:r w:rsidR="00CD7999" w:rsidRPr="00CD7999">
        <w:rPr>
          <w:rFonts w:ascii="Arial" w:hAnsi="Arial" w:cs="Arial"/>
          <w:sz w:val="22"/>
          <w:szCs w:val="22"/>
          <w:vertAlign w:val="superscript"/>
        </w:rPr>
        <w:t xml:space="preserve">er </w:t>
      </w:r>
      <w:r w:rsidR="00CD7999" w:rsidRPr="00CD7999">
        <w:rPr>
          <w:rFonts w:ascii="Arial" w:hAnsi="Arial" w:cs="Arial"/>
          <w:sz w:val="22"/>
          <w:szCs w:val="22"/>
        </w:rPr>
        <w:t>août 2018 précitée, la loi du 2 août 2002 fut abrogée et le règlement grand-ducal du 1</w:t>
      </w:r>
      <w:r w:rsidR="00CD7999" w:rsidRPr="00387A02">
        <w:rPr>
          <w:rFonts w:ascii="Arial" w:hAnsi="Arial" w:cs="Arial"/>
          <w:sz w:val="22"/>
          <w:szCs w:val="22"/>
          <w:vertAlign w:val="superscript"/>
        </w:rPr>
        <w:t>er</w:t>
      </w:r>
      <w:r w:rsidR="00CD7999" w:rsidRPr="00CD7999">
        <w:rPr>
          <w:rFonts w:ascii="Arial" w:hAnsi="Arial" w:cs="Arial"/>
          <w:sz w:val="22"/>
          <w:szCs w:val="22"/>
        </w:rPr>
        <w:t xml:space="preserve"> août 2007 était dépourvu de base légale. En parallèle a été adoptée la loi du 1</w:t>
      </w:r>
      <w:r w:rsidR="00CD7999" w:rsidRPr="00387A02">
        <w:rPr>
          <w:rFonts w:ascii="Arial" w:hAnsi="Arial" w:cs="Arial"/>
          <w:sz w:val="22"/>
          <w:szCs w:val="22"/>
          <w:vertAlign w:val="superscript"/>
        </w:rPr>
        <w:t xml:space="preserve">er </w:t>
      </w:r>
      <w:r w:rsidR="00CD7999" w:rsidRPr="00CD7999">
        <w:rPr>
          <w:rFonts w:ascii="Arial" w:hAnsi="Arial" w:cs="Arial"/>
          <w:sz w:val="22"/>
          <w:szCs w:val="22"/>
        </w:rPr>
        <w:t>août 2018 relative à la protection des personnes physiques à l’égard du traitement des données à caractère personnel en matière pénale ainsi qu’en matière de sécurité nationale, laquelle représente depuis son entrée en vigueur le 20 août 2018 le cadre général du traitement des données dans le domaine pénal. Depuis août 2018, la vidéosurveillance n’est plus formellement prévue par la loi.</w:t>
      </w:r>
      <w:r w:rsidR="00387A02" w:rsidRPr="00387A02">
        <w:t xml:space="preserve"> </w:t>
      </w:r>
      <w:r w:rsidR="00387A02" w:rsidRPr="00387A02">
        <w:rPr>
          <w:rFonts w:ascii="Arial" w:hAnsi="Arial" w:cs="Arial"/>
          <w:sz w:val="22"/>
          <w:szCs w:val="22"/>
        </w:rPr>
        <w:t>La Police a réagi en émettant des prescriptions internes se basant sur les dispositions de la loi du 1</w:t>
      </w:r>
      <w:r w:rsidR="00387A02" w:rsidRPr="00387A02">
        <w:rPr>
          <w:rFonts w:ascii="Arial" w:hAnsi="Arial" w:cs="Arial"/>
          <w:sz w:val="22"/>
          <w:szCs w:val="22"/>
          <w:vertAlign w:val="superscript"/>
        </w:rPr>
        <w:t>er</w:t>
      </w:r>
      <w:r w:rsidR="00387A02" w:rsidRPr="00387A02">
        <w:rPr>
          <w:rFonts w:ascii="Arial" w:hAnsi="Arial" w:cs="Arial"/>
          <w:sz w:val="22"/>
          <w:szCs w:val="22"/>
        </w:rPr>
        <w:t xml:space="preserve"> août 2018 (matière pénale)</w:t>
      </w:r>
      <w:r w:rsidR="00261F33">
        <w:rPr>
          <w:rFonts w:ascii="Arial" w:hAnsi="Arial" w:cs="Arial"/>
          <w:sz w:val="22"/>
          <w:szCs w:val="22"/>
        </w:rPr>
        <w:t>.</w:t>
      </w:r>
    </w:p>
    <w:p w:rsidR="00030C03" w:rsidRDefault="00030C03" w:rsidP="0041654B">
      <w:pPr>
        <w:jc w:val="both"/>
        <w:rPr>
          <w:rFonts w:ascii="Arial" w:hAnsi="Arial" w:cs="Arial"/>
          <w:sz w:val="22"/>
          <w:szCs w:val="22"/>
        </w:rPr>
      </w:pPr>
    </w:p>
    <w:p w:rsidR="00261F33" w:rsidRPr="00261F33" w:rsidRDefault="00387A02" w:rsidP="00261F33">
      <w:pPr>
        <w:jc w:val="both"/>
        <w:rPr>
          <w:rFonts w:ascii="Arial" w:hAnsi="Arial" w:cs="Arial"/>
          <w:sz w:val="22"/>
          <w:szCs w:val="22"/>
        </w:rPr>
      </w:pPr>
      <w:r>
        <w:rPr>
          <w:rFonts w:ascii="Arial" w:hAnsi="Arial" w:cs="Arial"/>
          <w:sz w:val="22"/>
          <w:szCs w:val="22"/>
        </w:rPr>
        <w:t xml:space="preserve">Le projet de </w:t>
      </w:r>
      <w:r w:rsidR="00DD2926" w:rsidRPr="00DD2926">
        <w:rPr>
          <w:rFonts w:ascii="Arial" w:hAnsi="Arial" w:cs="Arial"/>
          <w:sz w:val="22"/>
          <w:szCs w:val="22"/>
        </w:rPr>
        <w:t>loi précise les conditions de mise en place des caméras, du traitement des images et les mesures protectrices des droits des citoyens.</w:t>
      </w:r>
      <w:r w:rsidR="00D07D82" w:rsidRPr="00D07D82">
        <w:rPr>
          <w:rFonts w:ascii="Arial" w:hAnsi="Arial" w:cs="Arial"/>
          <w:sz w:val="22"/>
          <w:szCs w:val="22"/>
        </w:rPr>
        <w:t xml:space="preserve"> </w:t>
      </w:r>
      <w:r w:rsidR="00D07D82">
        <w:rPr>
          <w:rFonts w:ascii="Arial" w:hAnsi="Arial" w:cs="Arial"/>
          <w:sz w:val="22"/>
          <w:szCs w:val="22"/>
        </w:rPr>
        <w:t>L</w:t>
      </w:r>
      <w:r w:rsidR="00D07D82" w:rsidRPr="00B133FD">
        <w:rPr>
          <w:rFonts w:ascii="Arial" w:hAnsi="Arial" w:cs="Arial"/>
          <w:sz w:val="22"/>
          <w:szCs w:val="22"/>
        </w:rPr>
        <w:t>a vidéosurveillance peut être autorisée par le ministre aux fins de la prévention, de la recherche et de la constatation d’infractions pénales</w:t>
      </w:r>
      <w:r w:rsidR="00261F33">
        <w:rPr>
          <w:rFonts w:ascii="Arial" w:hAnsi="Arial" w:cs="Arial"/>
          <w:sz w:val="22"/>
          <w:szCs w:val="22"/>
        </w:rPr>
        <w:t>, sous</w:t>
      </w:r>
      <w:r w:rsidR="00261F33" w:rsidRPr="00261F33">
        <w:rPr>
          <w:rFonts w:ascii="Arial" w:hAnsi="Arial" w:cs="Arial"/>
          <w:sz w:val="22"/>
          <w:szCs w:val="22"/>
        </w:rPr>
        <w:t xml:space="preserve"> condition que les autres moyens mis en œuvre pour empêcher la commission d’infractions pénales se so</w:t>
      </w:r>
      <w:r w:rsidR="00261F33">
        <w:rPr>
          <w:rFonts w:ascii="Arial" w:hAnsi="Arial" w:cs="Arial"/>
          <w:sz w:val="22"/>
          <w:szCs w:val="22"/>
        </w:rPr>
        <w:t>ie</w:t>
      </w:r>
      <w:r w:rsidR="00261F33" w:rsidRPr="00261F33">
        <w:rPr>
          <w:rFonts w:ascii="Arial" w:hAnsi="Arial" w:cs="Arial"/>
          <w:sz w:val="22"/>
          <w:szCs w:val="22"/>
        </w:rPr>
        <w:t xml:space="preserve">nt avérés inefficaces. </w:t>
      </w:r>
      <w:r w:rsidR="0075275F">
        <w:rPr>
          <w:rFonts w:ascii="Arial" w:hAnsi="Arial" w:cs="Arial"/>
          <w:sz w:val="22"/>
          <w:szCs w:val="22"/>
        </w:rPr>
        <w:t>Le</w:t>
      </w:r>
      <w:r w:rsidR="00261F33" w:rsidRPr="00261F33">
        <w:rPr>
          <w:rFonts w:ascii="Arial" w:hAnsi="Arial" w:cs="Arial"/>
          <w:sz w:val="22"/>
          <w:szCs w:val="22"/>
        </w:rPr>
        <w:t xml:space="preserve"> recours à la vidéosurveillance se limite à des lieux </w:t>
      </w:r>
      <w:r w:rsidR="00190668">
        <w:rPr>
          <w:rFonts w:ascii="Arial" w:hAnsi="Arial" w:cs="Arial"/>
          <w:sz w:val="22"/>
          <w:szCs w:val="22"/>
        </w:rPr>
        <w:t xml:space="preserve">qui présentent </w:t>
      </w:r>
      <w:r w:rsidR="00261F33" w:rsidRPr="00261F33">
        <w:rPr>
          <w:rFonts w:ascii="Arial" w:hAnsi="Arial" w:cs="Arial"/>
          <w:sz w:val="22"/>
          <w:szCs w:val="22"/>
        </w:rPr>
        <w:t>un risque particulier de commission d’infractions pénales revêt</w:t>
      </w:r>
      <w:r w:rsidR="00190668">
        <w:rPr>
          <w:rFonts w:ascii="Arial" w:hAnsi="Arial" w:cs="Arial"/>
          <w:sz w:val="22"/>
          <w:szCs w:val="22"/>
        </w:rPr>
        <w:t>a</w:t>
      </w:r>
      <w:r w:rsidR="00261F33" w:rsidRPr="00261F33">
        <w:rPr>
          <w:rFonts w:ascii="Arial" w:hAnsi="Arial" w:cs="Arial"/>
          <w:sz w:val="22"/>
          <w:szCs w:val="22"/>
        </w:rPr>
        <w:t xml:space="preserve">nt un certain degré de gravité, </w:t>
      </w:r>
      <w:r w:rsidR="0075275F">
        <w:rPr>
          <w:rFonts w:ascii="Arial" w:hAnsi="Arial" w:cs="Arial"/>
          <w:sz w:val="22"/>
          <w:szCs w:val="22"/>
        </w:rPr>
        <w:t xml:space="preserve">sans </w:t>
      </w:r>
      <w:r w:rsidR="00261F33" w:rsidRPr="00261F33">
        <w:rPr>
          <w:rFonts w:ascii="Arial" w:hAnsi="Arial" w:cs="Arial"/>
          <w:sz w:val="22"/>
          <w:szCs w:val="22"/>
        </w:rPr>
        <w:t>limiter la vidéosurveillance à des catégories particulières d’infractions pénales</w:t>
      </w:r>
      <w:r w:rsidR="0075275F">
        <w:rPr>
          <w:rFonts w:ascii="Arial" w:hAnsi="Arial" w:cs="Arial"/>
          <w:sz w:val="22"/>
          <w:szCs w:val="22"/>
        </w:rPr>
        <w:t>, ce qui signifie que l</w:t>
      </w:r>
      <w:r w:rsidR="0075275F">
        <w:rPr>
          <w:rFonts w:ascii="Arial" w:hAnsi="Arial"/>
          <w:sz w:val="22"/>
          <w:szCs w:val="22"/>
          <w:lang w:val="fr-LU" w:eastAsia="fr-LU"/>
        </w:rPr>
        <w:t xml:space="preserve">es caméras déjà en </w:t>
      </w:r>
      <w:r w:rsidR="0075275F">
        <w:rPr>
          <w:rFonts w:ascii="Arial" w:hAnsi="Arial"/>
          <w:sz w:val="22"/>
          <w:szCs w:val="22"/>
          <w:lang w:val="fr-LU" w:eastAsia="fr-LU"/>
        </w:rPr>
        <w:lastRenderedPageBreak/>
        <w:t>place peuvent servir à élucider des contraventions, mais des caméras ne sont pas nouvellement installées dans ce but.</w:t>
      </w:r>
      <w:r w:rsidR="00261F33" w:rsidRPr="00261F33">
        <w:rPr>
          <w:rFonts w:ascii="Arial" w:hAnsi="Arial" w:cs="Arial"/>
          <w:sz w:val="22"/>
          <w:szCs w:val="22"/>
        </w:rPr>
        <w:t xml:space="preserve"> </w:t>
      </w:r>
    </w:p>
    <w:p w:rsidR="00261F33" w:rsidRPr="00261F33" w:rsidRDefault="00261F33" w:rsidP="00261F33">
      <w:pPr>
        <w:jc w:val="both"/>
        <w:rPr>
          <w:rFonts w:ascii="Arial" w:hAnsi="Arial" w:cs="Arial"/>
          <w:sz w:val="22"/>
          <w:szCs w:val="22"/>
        </w:rPr>
      </w:pPr>
    </w:p>
    <w:p w:rsidR="00D254EB" w:rsidRPr="00D254EB" w:rsidRDefault="00261F33" w:rsidP="00D254EB">
      <w:pPr>
        <w:jc w:val="both"/>
        <w:rPr>
          <w:rFonts w:ascii="Arial" w:hAnsi="Arial" w:cs="Arial"/>
          <w:sz w:val="22"/>
          <w:szCs w:val="22"/>
        </w:rPr>
      </w:pPr>
      <w:r w:rsidRPr="00261F33">
        <w:rPr>
          <w:rFonts w:ascii="Arial" w:hAnsi="Arial" w:cs="Arial"/>
          <w:sz w:val="22"/>
          <w:szCs w:val="22"/>
        </w:rPr>
        <w:t>L’autorisation ministérielle se fait sur base d’une analyse d’impact réalisée par le directeur général de la Police et après avis du procureur d’État territorialement compétent, du conseil communal et de la commission consultative</w:t>
      </w:r>
      <w:r>
        <w:rPr>
          <w:rFonts w:ascii="Arial" w:hAnsi="Arial" w:cs="Arial"/>
          <w:sz w:val="22"/>
          <w:szCs w:val="22"/>
        </w:rPr>
        <w:t xml:space="preserve"> nouvellement créée</w:t>
      </w:r>
      <w:r w:rsidRPr="00261F33">
        <w:rPr>
          <w:rFonts w:ascii="Arial" w:hAnsi="Arial" w:cs="Arial"/>
          <w:sz w:val="22"/>
          <w:szCs w:val="22"/>
        </w:rPr>
        <w:t xml:space="preserve">. </w:t>
      </w:r>
      <w:r w:rsidR="004A4348" w:rsidRPr="00B133FD">
        <w:rPr>
          <w:rFonts w:ascii="Arial" w:hAnsi="Arial" w:cs="Arial"/>
          <w:sz w:val="22"/>
          <w:szCs w:val="22"/>
        </w:rPr>
        <w:t xml:space="preserve">L’exclusion du recours à des techniques de reconnaissance faciale </w:t>
      </w:r>
      <w:r w:rsidR="004A4348">
        <w:rPr>
          <w:rFonts w:ascii="Arial" w:hAnsi="Arial" w:cs="Arial"/>
          <w:sz w:val="22"/>
          <w:szCs w:val="22"/>
        </w:rPr>
        <w:t xml:space="preserve">dans le cadre de la vidéosurveillance </w:t>
      </w:r>
      <w:r w:rsidR="004A4348" w:rsidRPr="00B133FD">
        <w:rPr>
          <w:rFonts w:ascii="Arial" w:hAnsi="Arial" w:cs="Arial"/>
          <w:sz w:val="22"/>
          <w:szCs w:val="22"/>
        </w:rPr>
        <w:t>est consacrée de manière expresse.</w:t>
      </w:r>
      <w:r w:rsidR="00D254EB" w:rsidRPr="00D254EB">
        <w:rPr>
          <w:rFonts w:ascii="Arial" w:hAnsi="Arial" w:cs="Arial"/>
          <w:sz w:val="22"/>
          <w:szCs w:val="22"/>
          <w:lang w:val="fr-CH"/>
        </w:rPr>
        <w:t xml:space="preserve"> Un cas spécial est celui des</w:t>
      </w:r>
      <w:r w:rsidR="00D254EB" w:rsidRPr="00D254EB">
        <w:rPr>
          <w:rFonts w:ascii="Arial" w:hAnsi="Arial" w:cs="Arial"/>
          <w:sz w:val="22"/>
          <w:szCs w:val="22"/>
        </w:rPr>
        <w:t xml:space="preserve"> interventions d’envergure qui peuvent se dérouler dans des lieux sous vidéosurveillance, par exemple dans l’enceinte du stade national. En effet, afin d’effectuer l’analyse du déroulement de l’intervention, ainsi que pour des fins de formation interne, dans le but d’améliorer les plans et procédures des interventions futures du même type, il peut être utile pour la Police de se servir des images enregistrées. </w:t>
      </w:r>
    </w:p>
    <w:p w:rsidR="00261F33" w:rsidRPr="00261F33" w:rsidRDefault="00261F33" w:rsidP="00261F33">
      <w:pPr>
        <w:jc w:val="both"/>
        <w:rPr>
          <w:rFonts w:ascii="Arial" w:hAnsi="Arial" w:cs="Arial"/>
          <w:sz w:val="22"/>
          <w:szCs w:val="22"/>
        </w:rPr>
      </w:pPr>
    </w:p>
    <w:p w:rsidR="0041654B" w:rsidRPr="0041654B" w:rsidRDefault="0041654B" w:rsidP="0041654B">
      <w:pPr>
        <w:jc w:val="both"/>
        <w:rPr>
          <w:rFonts w:ascii="Arial" w:hAnsi="Arial" w:cs="Arial"/>
          <w:sz w:val="22"/>
          <w:szCs w:val="22"/>
        </w:rPr>
      </w:pPr>
    </w:p>
    <w:p w:rsidR="0041654B" w:rsidRDefault="0041654B" w:rsidP="00CC386B">
      <w:pPr>
        <w:spacing w:after="200" w:line="252" w:lineRule="auto"/>
        <w:jc w:val="both"/>
        <w:rPr>
          <w:rFonts w:ascii="Arial" w:hAnsi="Arial" w:cs="Arial"/>
          <w:sz w:val="22"/>
          <w:szCs w:val="22"/>
        </w:rPr>
      </w:pPr>
    </w:p>
    <w:p w:rsidR="0041654B" w:rsidRDefault="0041654B" w:rsidP="00CC386B">
      <w:pPr>
        <w:spacing w:after="200" w:line="252" w:lineRule="auto"/>
        <w:jc w:val="both"/>
        <w:rPr>
          <w:rFonts w:ascii="Arial" w:hAnsi="Arial" w:cs="Arial"/>
          <w:sz w:val="22"/>
          <w:szCs w:val="22"/>
        </w:rPr>
      </w:pPr>
    </w:p>
    <w:p w:rsidR="0041654B" w:rsidRDefault="0041654B" w:rsidP="00CC386B">
      <w:pPr>
        <w:spacing w:after="200" w:line="252" w:lineRule="auto"/>
        <w:jc w:val="both"/>
        <w:rPr>
          <w:rFonts w:ascii="Arial" w:hAnsi="Arial" w:cs="Arial"/>
          <w:sz w:val="22"/>
          <w:szCs w:val="22"/>
        </w:rPr>
      </w:pPr>
    </w:p>
    <w:p w:rsidR="0041654B" w:rsidRDefault="0041654B" w:rsidP="00CC386B">
      <w:pPr>
        <w:spacing w:after="200" w:line="252" w:lineRule="auto"/>
        <w:jc w:val="both"/>
        <w:rPr>
          <w:rFonts w:ascii="Arial" w:hAnsi="Arial" w:cs="Arial"/>
          <w:sz w:val="22"/>
          <w:szCs w:val="22"/>
        </w:rPr>
      </w:pPr>
    </w:p>
    <w:p w:rsidR="00CC386B" w:rsidRDefault="00CC386B" w:rsidP="00DC4482">
      <w:pPr>
        <w:spacing w:after="200" w:line="252" w:lineRule="auto"/>
        <w:jc w:val="center"/>
        <w:rPr>
          <w:rFonts w:ascii="Arial" w:hAnsi="Arial" w:cs="Arial"/>
          <w:b/>
          <w:sz w:val="22"/>
          <w:szCs w:val="22"/>
          <w:lang w:eastAsia="en-US"/>
        </w:rPr>
      </w:pPr>
    </w:p>
    <w:p w:rsidR="00CC386B" w:rsidRPr="0004332C" w:rsidRDefault="00CC386B" w:rsidP="00DC4482">
      <w:pPr>
        <w:spacing w:after="200" w:line="252" w:lineRule="auto"/>
        <w:jc w:val="center"/>
        <w:rPr>
          <w:rFonts w:ascii="Arial" w:hAnsi="Arial" w:cs="Arial"/>
          <w:b/>
          <w:sz w:val="22"/>
          <w:szCs w:val="22"/>
          <w:lang w:eastAsia="en-US"/>
        </w:rPr>
      </w:pPr>
    </w:p>
    <w:p w:rsidR="0004332C" w:rsidRPr="00DC4482" w:rsidRDefault="0004332C" w:rsidP="0004332C">
      <w:pPr>
        <w:spacing w:after="200" w:line="252" w:lineRule="auto"/>
        <w:jc w:val="both"/>
        <w:rPr>
          <w:rFonts w:ascii="Arial" w:hAnsi="Arial" w:cs="Arial"/>
          <w:b/>
          <w:sz w:val="22"/>
          <w:szCs w:val="22"/>
          <w:lang w:eastAsia="en-US"/>
        </w:rPr>
      </w:pPr>
    </w:p>
    <w:p w:rsidR="00593EEF" w:rsidRPr="0004332C" w:rsidRDefault="00593EEF" w:rsidP="00593EEF">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593EEF" w:rsidRPr="0004332C" w:rsidRDefault="00593EEF" w:rsidP="00791AA4">
      <w:pPr>
        <w:jc w:val="center"/>
        <w:rPr>
          <w:rFonts w:ascii="Arial" w:hAnsi="Arial" w:cs="Arial"/>
          <w:b/>
          <w:sz w:val="22"/>
          <w:szCs w:val="22"/>
        </w:rPr>
      </w:pPr>
    </w:p>
    <w:p w:rsidR="00F04C43" w:rsidRPr="0004332C" w:rsidRDefault="00F04C43" w:rsidP="00232E53">
      <w:pPr>
        <w:autoSpaceDE w:val="0"/>
        <w:autoSpaceDN w:val="0"/>
        <w:adjustRightInd w:val="0"/>
        <w:jc w:val="both"/>
        <w:rPr>
          <w:rFonts w:ascii="Arial" w:hAnsi="Arial" w:cs="Arial"/>
          <w:b/>
          <w:bCs/>
          <w:sz w:val="22"/>
          <w:szCs w:val="22"/>
          <w:lang w:val="fr-LU"/>
        </w:rPr>
      </w:pPr>
    </w:p>
    <w:p w:rsidR="005A141D" w:rsidRPr="0004332C" w:rsidRDefault="005A141D" w:rsidP="00F65929">
      <w:pPr>
        <w:autoSpaceDE w:val="0"/>
        <w:autoSpaceDN w:val="0"/>
        <w:adjustRightInd w:val="0"/>
        <w:jc w:val="both"/>
        <w:rPr>
          <w:rFonts w:ascii="Arial" w:eastAsia="Calibri" w:hAnsi="Arial" w:cs="Arial"/>
          <w:color w:val="000000"/>
          <w:sz w:val="22"/>
          <w:szCs w:val="22"/>
          <w:lang w:eastAsia="en-US"/>
        </w:rPr>
      </w:pPr>
    </w:p>
    <w:p w:rsidR="00F65929" w:rsidRPr="000925B9" w:rsidRDefault="000925B9" w:rsidP="0004332C">
      <w:pPr>
        <w:jc w:val="both"/>
        <w:rPr>
          <w:rFonts w:ascii="Arial" w:hAnsi="Arial" w:cs="Arial"/>
          <w:sz w:val="22"/>
          <w:szCs w:val="22"/>
        </w:rPr>
      </w:pPr>
      <w:r w:rsidRPr="000925B9">
        <w:rPr>
          <w:rFonts w:ascii="Arial" w:hAnsi="Arial" w:cs="Arial"/>
          <w:sz w:val="22"/>
          <w:szCs w:val="22"/>
        </w:rPr>
        <w:t xml:space="preserve"> </w:t>
      </w:r>
    </w:p>
    <w:p w:rsidR="00F65929" w:rsidRDefault="00F65929" w:rsidP="00980CBA">
      <w:pPr>
        <w:jc w:val="both"/>
        <w:rPr>
          <w:rFonts w:ascii="Arial" w:hAnsi="Arial" w:cs="Arial"/>
          <w:sz w:val="22"/>
          <w:szCs w:val="22"/>
        </w:rPr>
      </w:pPr>
    </w:p>
    <w:p w:rsidR="009A2F43" w:rsidRDefault="009A2F43" w:rsidP="00486FD9">
      <w:pPr>
        <w:jc w:val="both"/>
        <w:rPr>
          <w:rFonts w:ascii="Arial" w:hAnsi="Arial" w:cs="Arial"/>
          <w:sz w:val="22"/>
          <w:szCs w:val="22"/>
        </w:rPr>
      </w:pPr>
    </w:p>
    <w:sectPr w:rsidR="009A2F4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39D5" w:rsidRDefault="00EC39D5" w:rsidP="00F64489">
      <w:r>
        <w:separator/>
      </w:r>
    </w:p>
  </w:endnote>
  <w:endnote w:type="continuationSeparator" w:id="0">
    <w:p w:rsidR="00EC39D5" w:rsidRDefault="00EC39D5" w:rsidP="00F64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39D5" w:rsidRDefault="00EC39D5" w:rsidP="00F64489">
      <w:r>
        <w:separator/>
      </w:r>
    </w:p>
  </w:footnote>
  <w:footnote w:type="continuationSeparator" w:id="0">
    <w:p w:rsidR="00EC39D5" w:rsidRDefault="00EC39D5" w:rsidP="00F64489">
      <w:r>
        <w:continuationSeparator/>
      </w:r>
    </w:p>
  </w:footnote>
  <w:footnote w:id="1">
    <w:p w:rsidR="00050D21" w:rsidRPr="00050D21" w:rsidRDefault="00050D21" w:rsidP="00050D21">
      <w:pPr>
        <w:pStyle w:val="Notedebasdepage"/>
        <w:jc w:val="both"/>
        <w:rPr>
          <w:rFonts w:ascii="Arial" w:hAnsi="Arial" w:cs="Arial"/>
          <w:sz w:val="16"/>
          <w:szCs w:val="16"/>
        </w:rPr>
      </w:pPr>
      <w:r w:rsidRPr="00050D21">
        <w:rPr>
          <w:rStyle w:val="Appelnotedebasdep"/>
          <w:rFonts w:ascii="Arial" w:hAnsi="Arial" w:cs="Arial"/>
          <w:sz w:val="16"/>
          <w:szCs w:val="16"/>
        </w:rPr>
        <w:footnoteRef/>
      </w:r>
      <w:r w:rsidRPr="00050D21">
        <w:rPr>
          <w:rFonts w:ascii="Arial" w:hAnsi="Arial" w:cs="Arial"/>
          <w:sz w:val="16"/>
          <w:szCs w:val="16"/>
        </w:rPr>
        <w:t xml:space="preserve"> DIRECTIVE (UE) 2016/680 DU PARLEMENT EUROPÉEN ET DU CONSEIL du 27 avril 2016 relative à la protection des personnes physiques à l'égard du traitement des données à caractère personnel par les autorités compétentes à des fins de prévention et de détection des infractions pénales, d'enquêtes et de poursuites en la matière ou d'exécution de sanctions pénales, et à la libre circulation de ces données, et abrogeant la décision-cadre 2008/977/JAI du Conseil</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36794"/>
    <w:multiLevelType w:val="hybridMultilevel"/>
    <w:tmpl w:val="3B22158C"/>
    <w:lvl w:ilvl="0" w:tplc="4F501C62">
      <w:start w:val="2"/>
      <w:numFmt w:val="bullet"/>
      <w:lvlText w:val="-"/>
      <w:lvlJc w:val="left"/>
      <w:pPr>
        <w:ind w:left="2061" w:hanging="360"/>
      </w:pPr>
      <w:rPr>
        <w:rFonts w:ascii="Arial" w:eastAsia="Calibri" w:hAnsi="Arial" w:cs="Arial" w:hint="default"/>
      </w:rPr>
    </w:lvl>
    <w:lvl w:ilvl="1" w:tplc="140C0003" w:tentative="1">
      <w:start w:val="1"/>
      <w:numFmt w:val="bullet"/>
      <w:lvlText w:val="o"/>
      <w:lvlJc w:val="left"/>
      <w:pPr>
        <w:ind w:left="2781" w:hanging="360"/>
      </w:pPr>
      <w:rPr>
        <w:rFonts w:ascii="Courier New" w:hAnsi="Courier New" w:cs="Courier New" w:hint="default"/>
      </w:rPr>
    </w:lvl>
    <w:lvl w:ilvl="2" w:tplc="140C0005" w:tentative="1">
      <w:start w:val="1"/>
      <w:numFmt w:val="bullet"/>
      <w:lvlText w:val=""/>
      <w:lvlJc w:val="left"/>
      <w:pPr>
        <w:ind w:left="3501" w:hanging="360"/>
      </w:pPr>
      <w:rPr>
        <w:rFonts w:ascii="Wingdings" w:hAnsi="Wingdings" w:hint="default"/>
      </w:rPr>
    </w:lvl>
    <w:lvl w:ilvl="3" w:tplc="140C0001" w:tentative="1">
      <w:start w:val="1"/>
      <w:numFmt w:val="bullet"/>
      <w:lvlText w:val=""/>
      <w:lvlJc w:val="left"/>
      <w:pPr>
        <w:ind w:left="4221" w:hanging="360"/>
      </w:pPr>
      <w:rPr>
        <w:rFonts w:ascii="Symbol" w:hAnsi="Symbol" w:hint="default"/>
      </w:rPr>
    </w:lvl>
    <w:lvl w:ilvl="4" w:tplc="140C0003" w:tentative="1">
      <w:start w:val="1"/>
      <w:numFmt w:val="bullet"/>
      <w:lvlText w:val="o"/>
      <w:lvlJc w:val="left"/>
      <w:pPr>
        <w:ind w:left="4941" w:hanging="360"/>
      </w:pPr>
      <w:rPr>
        <w:rFonts w:ascii="Courier New" w:hAnsi="Courier New" w:cs="Courier New" w:hint="default"/>
      </w:rPr>
    </w:lvl>
    <w:lvl w:ilvl="5" w:tplc="140C0005" w:tentative="1">
      <w:start w:val="1"/>
      <w:numFmt w:val="bullet"/>
      <w:lvlText w:val=""/>
      <w:lvlJc w:val="left"/>
      <w:pPr>
        <w:ind w:left="5661" w:hanging="360"/>
      </w:pPr>
      <w:rPr>
        <w:rFonts w:ascii="Wingdings" w:hAnsi="Wingdings" w:hint="default"/>
      </w:rPr>
    </w:lvl>
    <w:lvl w:ilvl="6" w:tplc="140C0001" w:tentative="1">
      <w:start w:val="1"/>
      <w:numFmt w:val="bullet"/>
      <w:lvlText w:val=""/>
      <w:lvlJc w:val="left"/>
      <w:pPr>
        <w:ind w:left="6381" w:hanging="360"/>
      </w:pPr>
      <w:rPr>
        <w:rFonts w:ascii="Symbol" w:hAnsi="Symbol" w:hint="default"/>
      </w:rPr>
    </w:lvl>
    <w:lvl w:ilvl="7" w:tplc="140C0003" w:tentative="1">
      <w:start w:val="1"/>
      <w:numFmt w:val="bullet"/>
      <w:lvlText w:val="o"/>
      <w:lvlJc w:val="left"/>
      <w:pPr>
        <w:ind w:left="7101" w:hanging="360"/>
      </w:pPr>
      <w:rPr>
        <w:rFonts w:ascii="Courier New" w:hAnsi="Courier New" w:cs="Courier New" w:hint="default"/>
      </w:rPr>
    </w:lvl>
    <w:lvl w:ilvl="8" w:tplc="140C0005" w:tentative="1">
      <w:start w:val="1"/>
      <w:numFmt w:val="bullet"/>
      <w:lvlText w:val=""/>
      <w:lvlJc w:val="left"/>
      <w:pPr>
        <w:ind w:left="7821" w:hanging="360"/>
      </w:pPr>
      <w:rPr>
        <w:rFonts w:ascii="Wingdings" w:hAnsi="Wingdings" w:hint="default"/>
      </w:rPr>
    </w:lvl>
  </w:abstractNum>
  <w:abstractNum w:abstractNumId="1" w15:restartNumberingAfterBreak="0">
    <w:nsid w:val="27FB1493"/>
    <w:multiLevelType w:val="hybridMultilevel"/>
    <w:tmpl w:val="EF50860A"/>
    <w:lvl w:ilvl="0" w:tplc="44F6E200">
      <w:numFmt w:val="bullet"/>
      <w:lvlText w:val="–"/>
      <w:lvlJc w:val="left"/>
      <w:pPr>
        <w:ind w:left="720" w:hanging="360"/>
      </w:pPr>
      <w:rPr>
        <w:rFonts w:ascii="Times New Roman" w:eastAsia="Times New Roman" w:hAnsi="Times New Roman"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2" w15:restartNumberingAfterBreak="0">
    <w:nsid w:val="2C614D67"/>
    <w:multiLevelType w:val="hybridMultilevel"/>
    <w:tmpl w:val="604A933C"/>
    <w:lvl w:ilvl="0" w:tplc="140C0005">
      <w:start w:val="1"/>
      <w:numFmt w:val="bullet"/>
      <w:lvlText w:val=""/>
      <w:lvlJc w:val="left"/>
      <w:pPr>
        <w:ind w:left="720" w:hanging="360"/>
      </w:pPr>
      <w:rPr>
        <w:rFonts w:ascii="Wingdings" w:hAnsi="Wingdings"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3" w15:restartNumberingAfterBreak="0">
    <w:nsid w:val="2F3F4B2B"/>
    <w:multiLevelType w:val="hybridMultilevel"/>
    <w:tmpl w:val="E0CC9AEE"/>
    <w:lvl w:ilvl="0" w:tplc="140C000F">
      <w:start w:val="1"/>
      <w:numFmt w:val="decimal"/>
      <w:lvlText w:val="%1."/>
      <w:lvlJc w:val="left"/>
      <w:pPr>
        <w:ind w:left="720"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4" w15:restartNumberingAfterBreak="0">
    <w:nsid w:val="32053881"/>
    <w:multiLevelType w:val="hybridMultilevel"/>
    <w:tmpl w:val="A1A017C0"/>
    <w:lvl w:ilvl="0" w:tplc="E7A410E6">
      <w:start w:val="5"/>
      <w:numFmt w:val="decimal"/>
      <w:lvlText w:val="%1."/>
      <w:lvlJc w:val="left"/>
      <w:pPr>
        <w:ind w:left="1068" w:hanging="360"/>
      </w:pPr>
      <w:rPr>
        <w:rFonts w:hint="default"/>
      </w:rPr>
    </w:lvl>
    <w:lvl w:ilvl="1" w:tplc="140C0019" w:tentative="1">
      <w:start w:val="1"/>
      <w:numFmt w:val="lowerLetter"/>
      <w:lvlText w:val="%2."/>
      <w:lvlJc w:val="left"/>
      <w:pPr>
        <w:ind w:left="1440" w:hanging="360"/>
      </w:pPr>
    </w:lvl>
    <w:lvl w:ilvl="2" w:tplc="140C001B" w:tentative="1">
      <w:start w:val="1"/>
      <w:numFmt w:val="lowerRoman"/>
      <w:lvlText w:val="%3."/>
      <w:lvlJc w:val="right"/>
      <w:pPr>
        <w:ind w:left="2160" w:hanging="180"/>
      </w:pPr>
    </w:lvl>
    <w:lvl w:ilvl="3" w:tplc="140C000F" w:tentative="1">
      <w:start w:val="1"/>
      <w:numFmt w:val="decimal"/>
      <w:lvlText w:val="%4."/>
      <w:lvlJc w:val="left"/>
      <w:pPr>
        <w:ind w:left="2880" w:hanging="360"/>
      </w:pPr>
    </w:lvl>
    <w:lvl w:ilvl="4" w:tplc="140C0019" w:tentative="1">
      <w:start w:val="1"/>
      <w:numFmt w:val="lowerLetter"/>
      <w:lvlText w:val="%5."/>
      <w:lvlJc w:val="left"/>
      <w:pPr>
        <w:ind w:left="3600" w:hanging="360"/>
      </w:pPr>
    </w:lvl>
    <w:lvl w:ilvl="5" w:tplc="140C001B" w:tentative="1">
      <w:start w:val="1"/>
      <w:numFmt w:val="lowerRoman"/>
      <w:lvlText w:val="%6."/>
      <w:lvlJc w:val="right"/>
      <w:pPr>
        <w:ind w:left="4320" w:hanging="180"/>
      </w:pPr>
    </w:lvl>
    <w:lvl w:ilvl="6" w:tplc="140C000F" w:tentative="1">
      <w:start w:val="1"/>
      <w:numFmt w:val="decimal"/>
      <w:lvlText w:val="%7."/>
      <w:lvlJc w:val="left"/>
      <w:pPr>
        <w:ind w:left="5040" w:hanging="360"/>
      </w:pPr>
    </w:lvl>
    <w:lvl w:ilvl="7" w:tplc="140C0019" w:tentative="1">
      <w:start w:val="1"/>
      <w:numFmt w:val="lowerLetter"/>
      <w:lvlText w:val="%8."/>
      <w:lvlJc w:val="left"/>
      <w:pPr>
        <w:ind w:left="5760" w:hanging="360"/>
      </w:pPr>
    </w:lvl>
    <w:lvl w:ilvl="8" w:tplc="140C001B" w:tentative="1">
      <w:start w:val="1"/>
      <w:numFmt w:val="lowerRoman"/>
      <w:lvlText w:val="%9."/>
      <w:lvlJc w:val="right"/>
      <w:pPr>
        <w:ind w:left="6480" w:hanging="180"/>
      </w:pPr>
    </w:lvl>
  </w:abstractNum>
  <w:abstractNum w:abstractNumId="5" w15:restartNumberingAfterBreak="0">
    <w:nsid w:val="38666333"/>
    <w:multiLevelType w:val="hybridMultilevel"/>
    <w:tmpl w:val="40BCF16C"/>
    <w:lvl w:ilvl="0" w:tplc="2F006D14">
      <w:start w:val="1"/>
      <w:numFmt w:val="decimal"/>
      <w:lvlText w:val="%1."/>
      <w:lvlJc w:val="left"/>
      <w:pPr>
        <w:ind w:left="1068" w:hanging="360"/>
      </w:pPr>
    </w:lvl>
    <w:lvl w:ilvl="1" w:tplc="140C0019">
      <w:start w:val="1"/>
      <w:numFmt w:val="lowerLetter"/>
      <w:lvlText w:val="%2."/>
      <w:lvlJc w:val="left"/>
      <w:pPr>
        <w:ind w:left="1788" w:hanging="360"/>
      </w:pPr>
    </w:lvl>
    <w:lvl w:ilvl="2" w:tplc="140C001B">
      <w:start w:val="1"/>
      <w:numFmt w:val="lowerRoman"/>
      <w:lvlText w:val="%3."/>
      <w:lvlJc w:val="right"/>
      <w:pPr>
        <w:ind w:left="2508" w:hanging="180"/>
      </w:pPr>
    </w:lvl>
    <w:lvl w:ilvl="3" w:tplc="140C000F">
      <w:start w:val="1"/>
      <w:numFmt w:val="decimal"/>
      <w:lvlText w:val="%4."/>
      <w:lvlJc w:val="left"/>
      <w:pPr>
        <w:ind w:left="3228" w:hanging="360"/>
      </w:pPr>
    </w:lvl>
    <w:lvl w:ilvl="4" w:tplc="140C0019">
      <w:start w:val="1"/>
      <w:numFmt w:val="lowerLetter"/>
      <w:lvlText w:val="%5."/>
      <w:lvlJc w:val="left"/>
      <w:pPr>
        <w:ind w:left="3948" w:hanging="360"/>
      </w:pPr>
    </w:lvl>
    <w:lvl w:ilvl="5" w:tplc="140C001B">
      <w:start w:val="1"/>
      <w:numFmt w:val="lowerRoman"/>
      <w:lvlText w:val="%6."/>
      <w:lvlJc w:val="right"/>
      <w:pPr>
        <w:ind w:left="4668" w:hanging="180"/>
      </w:pPr>
    </w:lvl>
    <w:lvl w:ilvl="6" w:tplc="140C000F">
      <w:start w:val="1"/>
      <w:numFmt w:val="decimal"/>
      <w:lvlText w:val="%7."/>
      <w:lvlJc w:val="left"/>
      <w:pPr>
        <w:ind w:left="5388" w:hanging="360"/>
      </w:pPr>
    </w:lvl>
    <w:lvl w:ilvl="7" w:tplc="140C0019">
      <w:start w:val="1"/>
      <w:numFmt w:val="lowerLetter"/>
      <w:lvlText w:val="%8."/>
      <w:lvlJc w:val="left"/>
      <w:pPr>
        <w:ind w:left="6108" w:hanging="360"/>
      </w:pPr>
    </w:lvl>
    <w:lvl w:ilvl="8" w:tplc="140C001B">
      <w:start w:val="1"/>
      <w:numFmt w:val="lowerRoman"/>
      <w:lvlText w:val="%9."/>
      <w:lvlJc w:val="right"/>
      <w:pPr>
        <w:ind w:left="6828" w:hanging="180"/>
      </w:pPr>
    </w:lvl>
  </w:abstractNum>
  <w:abstractNum w:abstractNumId="6" w15:restartNumberingAfterBreak="0">
    <w:nsid w:val="3CB065E7"/>
    <w:multiLevelType w:val="hybridMultilevel"/>
    <w:tmpl w:val="E4A66B10"/>
    <w:lvl w:ilvl="0" w:tplc="404AB0B6">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CCD409B"/>
    <w:multiLevelType w:val="hybridMultilevel"/>
    <w:tmpl w:val="41407F72"/>
    <w:lvl w:ilvl="0" w:tplc="E1480FFA">
      <w:numFmt w:val="bullet"/>
      <w:lvlText w:val="-"/>
      <w:lvlJc w:val="left"/>
      <w:pPr>
        <w:ind w:left="720" w:hanging="360"/>
      </w:pPr>
      <w:rPr>
        <w:rFonts w:ascii="Calibri" w:eastAsia="Calibri" w:hAnsi="Calibri" w:cs="Times New Roman" w:hint="default"/>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8" w15:restartNumberingAfterBreak="0">
    <w:nsid w:val="56DF6352"/>
    <w:multiLevelType w:val="hybridMultilevel"/>
    <w:tmpl w:val="2FF2CD04"/>
    <w:lvl w:ilvl="0" w:tplc="8BF01392">
      <w:start w:val="2"/>
      <w:numFmt w:val="bullet"/>
      <w:lvlText w:val="-"/>
      <w:lvlJc w:val="left"/>
      <w:pPr>
        <w:ind w:left="720" w:hanging="360"/>
      </w:pPr>
      <w:rPr>
        <w:rFonts w:ascii="Times New Roman" w:eastAsia="Times New Roman" w:hAnsi="Times New Roman" w:cs="Times New Roman" w:hint="default"/>
        <w:color w:val="000000"/>
      </w:rPr>
    </w:lvl>
    <w:lvl w:ilvl="1" w:tplc="140C0003" w:tentative="1">
      <w:start w:val="1"/>
      <w:numFmt w:val="bullet"/>
      <w:lvlText w:val="o"/>
      <w:lvlJc w:val="left"/>
      <w:pPr>
        <w:ind w:left="1440" w:hanging="360"/>
      </w:pPr>
      <w:rPr>
        <w:rFonts w:ascii="Courier New" w:hAnsi="Courier New" w:cs="Courier New" w:hint="default"/>
      </w:rPr>
    </w:lvl>
    <w:lvl w:ilvl="2" w:tplc="140C0005" w:tentative="1">
      <w:start w:val="1"/>
      <w:numFmt w:val="bullet"/>
      <w:lvlText w:val=""/>
      <w:lvlJc w:val="left"/>
      <w:pPr>
        <w:ind w:left="2160" w:hanging="360"/>
      </w:pPr>
      <w:rPr>
        <w:rFonts w:ascii="Wingdings" w:hAnsi="Wingdings" w:hint="default"/>
      </w:rPr>
    </w:lvl>
    <w:lvl w:ilvl="3" w:tplc="140C0001" w:tentative="1">
      <w:start w:val="1"/>
      <w:numFmt w:val="bullet"/>
      <w:lvlText w:val=""/>
      <w:lvlJc w:val="left"/>
      <w:pPr>
        <w:ind w:left="2880" w:hanging="360"/>
      </w:pPr>
      <w:rPr>
        <w:rFonts w:ascii="Symbol" w:hAnsi="Symbol" w:hint="default"/>
      </w:rPr>
    </w:lvl>
    <w:lvl w:ilvl="4" w:tplc="140C0003" w:tentative="1">
      <w:start w:val="1"/>
      <w:numFmt w:val="bullet"/>
      <w:lvlText w:val="o"/>
      <w:lvlJc w:val="left"/>
      <w:pPr>
        <w:ind w:left="3600" w:hanging="360"/>
      </w:pPr>
      <w:rPr>
        <w:rFonts w:ascii="Courier New" w:hAnsi="Courier New" w:cs="Courier New" w:hint="default"/>
      </w:rPr>
    </w:lvl>
    <w:lvl w:ilvl="5" w:tplc="140C0005" w:tentative="1">
      <w:start w:val="1"/>
      <w:numFmt w:val="bullet"/>
      <w:lvlText w:val=""/>
      <w:lvlJc w:val="left"/>
      <w:pPr>
        <w:ind w:left="4320" w:hanging="360"/>
      </w:pPr>
      <w:rPr>
        <w:rFonts w:ascii="Wingdings" w:hAnsi="Wingdings" w:hint="default"/>
      </w:rPr>
    </w:lvl>
    <w:lvl w:ilvl="6" w:tplc="140C0001" w:tentative="1">
      <w:start w:val="1"/>
      <w:numFmt w:val="bullet"/>
      <w:lvlText w:val=""/>
      <w:lvlJc w:val="left"/>
      <w:pPr>
        <w:ind w:left="5040" w:hanging="360"/>
      </w:pPr>
      <w:rPr>
        <w:rFonts w:ascii="Symbol" w:hAnsi="Symbol" w:hint="default"/>
      </w:rPr>
    </w:lvl>
    <w:lvl w:ilvl="7" w:tplc="140C0003" w:tentative="1">
      <w:start w:val="1"/>
      <w:numFmt w:val="bullet"/>
      <w:lvlText w:val="o"/>
      <w:lvlJc w:val="left"/>
      <w:pPr>
        <w:ind w:left="5760" w:hanging="360"/>
      </w:pPr>
      <w:rPr>
        <w:rFonts w:ascii="Courier New" w:hAnsi="Courier New" w:cs="Courier New" w:hint="default"/>
      </w:rPr>
    </w:lvl>
    <w:lvl w:ilvl="8" w:tplc="140C0005" w:tentative="1">
      <w:start w:val="1"/>
      <w:numFmt w:val="bullet"/>
      <w:lvlText w:val=""/>
      <w:lvlJc w:val="left"/>
      <w:pPr>
        <w:ind w:left="6480" w:hanging="360"/>
      </w:pPr>
      <w:rPr>
        <w:rFonts w:ascii="Wingdings" w:hAnsi="Wingdings" w:hint="default"/>
      </w:rPr>
    </w:lvl>
  </w:abstractNum>
  <w:abstractNum w:abstractNumId="9" w15:restartNumberingAfterBreak="0">
    <w:nsid w:val="5C2F4DDD"/>
    <w:multiLevelType w:val="hybridMultilevel"/>
    <w:tmpl w:val="93825D3C"/>
    <w:lvl w:ilvl="0" w:tplc="CCFA1908">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06C5615"/>
    <w:multiLevelType w:val="hybridMultilevel"/>
    <w:tmpl w:val="CDA00FF6"/>
    <w:lvl w:ilvl="0" w:tplc="040C000F">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1" w15:restartNumberingAfterBreak="0">
    <w:nsid w:val="6ED3732B"/>
    <w:multiLevelType w:val="hybridMultilevel"/>
    <w:tmpl w:val="CB168166"/>
    <w:lvl w:ilvl="0" w:tplc="140C000F">
      <w:start w:val="1"/>
      <w:numFmt w:val="decimal"/>
      <w:lvlText w:val="%1."/>
      <w:lvlJc w:val="left"/>
      <w:pPr>
        <w:ind w:left="644" w:hanging="360"/>
      </w:pPr>
      <w:rPr>
        <w:rFonts w:hint="default"/>
      </w:rPr>
    </w:lvl>
    <w:lvl w:ilvl="1" w:tplc="140C0019">
      <w:start w:val="1"/>
      <w:numFmt w:val="lowerLetter"/>
      <w:lvlText w:val="%2."/>
      <w:lvlJc w:val="left"/>
      <w:pPr>
        <w:ind w:left="1364" w:hanging="360"/>
      </w:pPr>
    </w:lvl>
    <w:lvl w:ilvl="2" w:tplc="140C001B">
      <w:start w:val="1"/>
      <w:numFmt w:val="lowerRoman"/>
      <w:lvlText w:val="%3."/>
      <w:lvlJc w:val="right"/>
      <w:pPr>
        <w:ind w:left="2084" w:hanging="180"/>
      </w:pPr>
    </w:lvl>
    <w:lvl w:ilvl="3" w:tplc="140C000F">
      <w:start w:val="1"/>
      <w:numFmt w:val="decimal"/>
      <w:lvlText w:val="%4."/>
      <w:lvlJc w:val="left"/>
      <w:pPr>
        <w:ind w:left="2804" w:hanging="360"/>
      </w:pPr>
    </w:lvl>
    <w:lvl w:ilvl="4" w:tplc="140C0019" w:tentative="1">
      <w:start w:val="1"/>
      <w:numFmt w:val="lowerLetter"/>
      <w:lvlText w:val="%5."/>
      <w:lvlJc w:val="left"/>
      <w:pPr>
        <w:ind w:left="3524" w:hanging="360"/>
      </w:pPr>
    </w:lvl>
    <w:lvl w:ilvl="5" w:tplc="140C001B" w:tentative="1">
      <w:start w:val="1"/>
      <w:numFmt w:val="lowerRoman"/>
      <w:lvlText w:val="%6."/>
      <w:lvlJc w:val="right"/>
      <w:pPr>
        <w:ind w:left="4244" w:hanging="180"/>
      </w:pPr>
    </w:lvl>
    <w:lvl w:ilvl="6" w:tplc="140C000F" w:tentative="1">
      <w:start w:val="1"/>
      <w:numFmt w:val="decimal"/>
      <w:lvlText w:val="%7."/>
      <w:lvlJc w:val="left"/>
      <w:pPr>
        <w:ind w:left="4964" w:hanging="360"/>
      </w:pPr>
    </w:lvl>
    <w:lvl w:ilvl="7" w:tplc="140C0019" w:tentative="1">
      <w:start w:val="1"/>
      <w:numFmt w:val="lowerLetter"/>
      <w:lvlText w:val="%8."/>
      <w:lvlJc w:val="left"/>
      <w:pPr>
        <w:ind w:left="5684" w:hanging="360"/>
      </w:pPr>
    </w:lvl>
    <w:lvl w:ilvl="8" w:tplc="140C001B" w:tentative="1">
      <w:start w:val="1"/>
      <w:numFmt w:val="lowerRoman"/>
      <w:lvlText w:val="%9."/>
      <w:lvlJc w:val="right"/>
      <w:pPr>
        <w:ind w:left="6404" w:hanging="180"/>
      </w:pPr>
    </w:lvl>
  </w:abstractNum>
  <w:num w:numId="1">
    <w:abstractNumId w:val="3"/>
  </w:num>
  <w:num w:numId="2">
    <w:abstractNumId w:val="8"/>
  </w:num>
  <w:num w:numId="3">
    <w:abstractNumId w:val="11"/>
  </w:num>
  <w:num w:numId="4">
    <w:abstractNumId w:val="1"/>
  </w:num>
  <w:num w:numId="5">
    <w:abstractNumId w:val="7"/>
  </w:num>
  <w:num w:numId="6">
    <w:abstractNumId w:val="10"/>
  </w:num>
  <w:num w:numId="7">
    <w:abstractNumId w:val="0"/>
  </w:num>
  <w:num w:numId="8">
    <w:abstractNumId w:val="6"/>
  </w:num>
  <w:num w:numId="9">
    <w:abstractNumId w:val="9"/>
  </w:num>
  <w:num w:numId="10">
    <w:abstractNumId w:val="2"/>
  </w:num>
  <w:num w:numId="11">
    <w:abstractNumId w:val="5"/>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NotTrackMoves/>
  <w:defaultTabStop w:val="708"/>
  <w:hyphenationZone w:val="425"/>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E7D9B"/>
    <w:rsid w:val="000244C0"/>
    <w:rsid w:val="00027C60"/>
    <w:rsid w:val="00030C03"/>
    <w:rsid w:val="0003324D"/>
    <w:rsid w:val="00033F26"/>
    <w:rsid w:val="00035407"/>
    <w:rsid w:val="0004332C"/>
    <w:rsid w:val="00050D21"/>
    <w:rsid w:val="00084FD1"/>
    <w:rsid w:val="000925B9"/>
    <w:rsid w:val="000F4793"/>
    <w:rsid w:val="00116BC8"/>
    <w:rsid w:val="001267A8"/>
    <w:rsid w:val="00127738"/>
    <w:rsid w:val="001443D7"/>
    <w:rsid w:val="00156290"/>
    <w:rsid w:val="00166A32"/>
    <w:rsid w:val="00190668"/>
    <w:rsid w:val="00193625"/>
    <w:rsid w:val="001A071E"/>
    <w:rsid w:val="001F270E"/>
    <w:rsid w:val="001F28C6"/>
    <w:rsid w:val="00232E53"/>
    <w:rsid w:val="00244BDD"/>
    <w:rsid w:val="00261F33"/>
    <w:rsid w:val="00280D12"/>
    <w:rsid w:val="002A0C31"/>
    <w:rsid w:val="002E7F09"/>
    <w:rsid w:val="002F3BFE"/>
    <w:rsid w:val="00301EF3"/>
    <w:rsid w:val="00315258"/>
    <w:rsid w:val="003277F2"/>
    <w:rsid w:val="003357C8"/>
    <w:rsid w:val="003428B6"/>
    <w:rsid w:val="00365E9C"/>
    <w:rsid w:val="00376B54"/>
    <w:rsid w:val="003846C1"/>
    <w:rsid w:val="00387A02"/>
    <w:rsid w:val="0039081D"/>
    <w:rsid w:val="0039147B"/>
    <w:rsid w:val="003B61B9"/>
    <w:rsid w:val="003C4C50"/>
    <w:rsid w:val="003F0254"/>
    <w:rsid w:val="003F1DC3"/>
    <w:rsid w:val="0041654B"/>
    <w:rsid w:val="00461F0D"/>
    <w:rsid w:val="004642F9"/>
    <w:rsid w:val="00481439"/>
    <w:rsid w:val="00486FD9"/>
    <w:rsid w:val="004A1A24"/>
    <w:rsid w:val="004A4348"/>
    <w:rsid w:val="004B15C4"/>
    <w:rsid w:val="0051074A"/>
    <w:rsid w:val="00513853"/>
    <w:rsid w:val="0053130F"/>
    <w:rsid w:val="00554D00"/>
    <w:rsid w:val="00584688"/>
    <w:rsid w:val="00593EEF"/>
    <w:rsid w:val="005A141D"/>
    <w:rsid w:val="005C5FB2"/>
    <w:rsid w:val="005D0D19"/>
    <w:rsid w:val="005E7D9B"/>
    <w:rsid w:val="00600C84"/>
    <w:rsid w:val="00611A2A"/>
    <w:rsid w:val="006163E6"/>
    <w:rsid w:val="0065481F"/>
    <w:rsid w:val="00661D82"/>
    <w:rsid w:val="006A02CE"/>
    <w:rsid w:val="006D38A3"/>
    <w:rsid w:val="006D70AA"/>
    <w:rsid w:val="006E5A7A"/>
    <w:rsid w:val="00703DD4"/>
    <w:rsid w:val="00722236"/>
    <w:rsid w:val="00746443"/>
    <w:rsid w:val="0075275F"/>
    <w:rsid w:val="00753A88"/>
    <w:rsid w:val="00791AA4"/>
    <w:rsid w:val="007B6EC8"/>
    <w:rsid w:val="00823F7A"/>
    <w:rsid w:val="00836EE2"/>
    <w:rsid w:val="008413B3"/>
    <w:rsid w:val="00892F74"/>
    <w:rsid w:val="008933EF"/>
    <w:rsid w:val="008D0BD4"/>
    <w:rsid w:val="008E1D5E"/>
    <w:rsid w:val="008F31C8"/>
    <w:rsid w:val="008F7FE0"/>
    <w:rsid w:val="00900B74"/>
    <w:rsid w:val="00934486"/>
    <w:rsid w:val="00940FA2"/>
    <w:rsid w:val="009625FC"/>
    <w:rsid w:val="00973B23"/>
    <w:rsid w:val="00975985"/>
    <w:rsid w:val="00980CBA"/>
    <w:rsid w:val="009A2F43"/>
    <w:rsid w:val="009E0540"/>
    <w:rsid w:val="009E37B8"/>
    <w:rsid w:val="00A21310"/>
    <w:rsid w:val="00A32111"/>
    <w:rsid w:val="00A33C2E"/>
    <w:rsid w:val="00A768B9"/>
    <w:rsid w:val="00A94031"/>
    <w:rsid w:val="00AA0A15"/>
    <w:rsid w:val="00AC5F70"/>
    <w:rsid w:val="00AE2A4E"/>
    <w:rsid w:val="00AF0C78"/>
    <w:rsid w:val="00AF23C3"/>
    <w:rsid w:val="00AF4723"/>
    <w:rsid w:val="00B0247E"/>
    <w:rsid w:val="00B17C5A"/>
    <w:rsid w:val="00B21027"/>
    <w:rsid w:val="00B24938"/>
    <w:rsid w:val="00B44BCB"/>
    <w:rsid w:val="00B54DB7"/>
    <w:rsid w:val="00B9054F"/>
    <w:rsid w:val="00B92C9B"/>
    <w:rsid w:val="00BD3941"/>
    <w:rsid w:val="00BE2372"/>
    <w:rsid w:val="00BE4C7D"/>
    <w:rsid w:val="00C03363"/>
    <w:rsid w:val="00C05D50"/>
    <w:rsid w:val="00C24E31"/>
    <w:rsid w:val="00C518A7"/>
    <w:rsid w:val="00C51E15"/>
    <w:rsid w:val="00C5204B"/>
    <w:rsid w:val="00C619B4"/>
    <w:rsid w:val="00CA03AA"/>
    <w:rsid w:val="00CC352F"/>
    <w:rsid w:val="00CC386B"/>
    <w:rsid w:val="00CD7999"/>
    <w:rsid w:val="00CE4CA0"/>
    <w:rsid w:val="00D07D82"/>
    <w:rsid w:val="00D15D83"/>
    <w:rsid w:val="00D225B0"/>
    <w:rsid w:val="00D254EB"/>
    <w:rsid w:val="00D315E5"/>
    <w:rsid w:val="00D618C2"/>
    <w:rsid w:val="00DC4482"/>
    <w:rsid w:val="00DD2926"/>
    <w:rsid w:val="00E11F45"/>
    <w:rsid w:val="00E35A0D"/>
    <w:rsid w:val="00E44089"/>
    <w:rsid w:val="00E47CB3"/>
    <w:rsid w:val="00E651B8"/>
    <w:rsid w:val="00E7620B"/>
    <w:rsid w:val="00EC39D5"/>
    <w:rsid w:val="00ED2527"/>
    <w:rsid w:val="00EE43A4"/>
    <w:rsid w:val="00F04C43"/>
    <w:rsid w:val="00F1795E"/>
    <w:rsid w:val="00F30823"/>
    <w:rsid w:val="00F43FB0"/>
    <w:rsid w:val="00F64489"/>
    <w:rsid w:val="00F65929"/>
    <w:rsid w:val="00F721DC"/>
    <w:rsid w:val="00F9369E"/>
    <w:rsid w:val="00FB5D60"/>
    <w:rsid w:val="00FC5E55"/>
    <w:rsid w:val="00FD50EA"/>
    <w:rsid w:val="00FD6548"/>
    <w:rsid w:val="00FE01C2"/>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2B427503-FC67-4CFB-B889-8B73B8067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fr-FR" w:eastAsia="fr-FR"/>
    </w:rPr>
  </w:style>
  <w:style w:type="character" w:default="1" w:styleId="Policepardfaut">
    <w:name w:val="Default Paragraph Font"/>
    <w:semiHidden/>
  </w:style>
  <w:style w:type="table" w:default="1" w:styleId="TableauNormal">
    <w:name w:val="Normal Table"/>
    <w:semiHidden/>
    <w:tblPr>
      <w:tblInd w:w="0" w:type="dxa"/>
      <w:tblCellMar>
        <w:top w:w="0" w:type="dxa"/>
        <w:left w:w="108" w:type="dxa"/>
        <w:bottom w:w="0" w:type="dxa"/>
        <w:right w:w="108" w:type="dxa"/>
      </w:tblCellMar>
    </w:tblPr>
  </w:style>
  <w:style w:type="numbering" w:default="1" w:styleId="Aucuneliste">
    <w:name w:val="No List"/>
    <w:semiHidden/>
  </w:style>
  <w:style w:type="paragraph" w:styleId="NormalWeb">
    <w:name w:val="Normal (Web)"/>
    <w:basedOn w:val="Normal"/>
    <w:uiPriority w:val="99"/>
    <w:unhideWhenUsed/>
    <w:rsid w:val="005D0D19"/>
    <w:pPr>
      <w:spacing w:before="100" w:beforeAutospacing="1" w:after="100" w:afterAutospacing="1"/>
    </w:pPr>
    <w:rPr>
      <w:lang w:val="fr-LU" w:eastAsia="fr-LU"/>
    </w:rPr>
  </w:style>
  <w:style w:type="paragraph" w:styleId="Paragraphedeliste">
    <w:name w:val="List Paragraph"/>
    <w:basedOn w:val="Normal"/>
    <w:uiPriority w:val="34"/>
    <w:qFormat/>
    <w:rsid w:val="00ED2527"/>
    <w:pPr>
      <w:ind w:left="720"/>
      <w:contextualSpacing/>
    </w:pPr>
    <w:rPr>
      <w:lang w:val="fr-LU" w:eastAsia="fr-LU"/>
    </w:rPr>
  </w:style>
  <w:style w:type="paragraph" w:styleId="Textebrut">
    <w:name w:val="Plain Text"/>
    <w:basedOn w:val="Normal"/>
    <w:link w:val="TextebrutCar"/>
    <w:rsid w:val="00FC5E55"/>
    <w:pPr>
      <w:jc w:val="both"/>
    </w:pPr>
    <w:rPr>
      <w:rFonts w:ascii="Courier New" w:hAnsi="Courier New"/>
      <w:sz w:val="20"/>
      <w:szCs w:val="20"/>
    </w:rPr>
  </w:style>
  <w:style w:type="character" w:customStyle="1" w:styleId="TextebrutCar">
    <w:name w:val="Texte brut Car"/>
    <w:link w:val="Textebrut"/>
    <w:rsid w:val="00FC5E55"/>
    <w:rPr>
      <w:rFonts w:ascii="Courier New" w:hAnsi="Courier New"/>
      <w:lang w:val="fr-FR" w:eastAsia="fr-FR"/>
    </w:rPr>
  </w:style>
  <w:style w:type="paragraph" w:styleId="Notedebasdepage">
    <w:name w:val="footnote text"/>
    <w:basedOn w:val="Normal"/>
    <w:link w:val="NotedebasdepageCar"/>
    <w:uiPriority w:val="99"/>
    <w:semiHidden/>
    <w:rsid w:val="00F64489"/>
    <w:rPr>
      <w:rFonts w:ascii="Calibri" w:hAnsi="Calibri"/>
      <w:sz w:val="20"/>
      <w:szCs w:val="20"/>
    </w:rPr>
  </w:style>
  <w:style w:type="character" w:customStyle="1" w:styleId="NotedebasdepageCar">
    <w:name w:val="Note de bas de page Car"/>
    <w:link w:val="Notedebasdepage"/>
    <w:uiPriority w:val="99"/>
    <w:semiHidden/>
    <w:rsid w:val="00F64489"/>
    <w:rPr>
      <w:rFonts w:ascii="Calibri" w:hAnsi="Calibri"/>
      <w:lang w:val="fr-FR" w:eastAsia="fr-FR"/>
    </w:rPr>
  </w:style>
  <w:style w:type="character" w:styleId="Appelnotedebasdep">
    <w:name w:val="footnote reference"/>
    <w:uiPriority w:val="99"/>
    <w:semiHidden/>
    <w:rsid w:val="00F64489"/>
    <w:rPr>
      <w:rFonts w:cs="Times New Roman"/>
      <w:vertAlign w:val="superscript"/>
    </w:rPr>
  </w:style>
  <w:style w:type="paragraph" w:styleId="Sansinterligne">
    <w:name w:val="No Spacing"/>
    <w:uiPriority w:val="1"/>
    <w:qFormat/>
    <w:rsid w:val="00127738"/>
    <w:rPr>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DP7498</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7498</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/sftpecos/Dossiers_parlementaires/7498/</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F7E6E617-1505-407D-BF34-417FD9401062}">
  <ds:schemaRefs>
    <ds:schemaRef ds:uri="http://schemas.openxmlformats.org/officeDocument/2006/bibliography"/>
  </ds:schemaRefs>
</ds:datastoreItem>
</file>

<file path=customXml/itemProps2.xml><?xml version="1.0" encoding="utf-8"?>
<ds:datastoreItem xmlns:ds="http://schemas.openxmlformats.org/officeDocument/2006/customXml" ds:itemID="{65551457-3F25-4B22-B729-FE059B241B89}"/>
</file>

<file path=customXml/itemProps3.xml><?xml version="1.0" encoding="utf-8"?>
<ds:datastoreItem xmlns:ds="http://schemas.openxmlformats.org/officeDocument/2006/customXml" ds:itemID="{47BA00A0-A4EB-4EE8-BB69-46CA36FE7CE9}"/>
</file>

<file path=customXml/itemProps4.xml><?xml version="1.0" encoding="utf-8"?>
<ds:datastoreItem xmlns:ds="http://schemas.openxmlformats.org/officeDocument/2006/customXml" ds:itemID="{E9EC6665-B007-4194-8072-DD7EADB50E44}"/>
</file>

<file path=docProps/app.xml><?xml version="1.0" encoding="utf-8"?>
<Properties xmlns="http://schemas.openxmlformats.org/officeDocument/2006/extended-properties" xmlns:vt="http://schemas.openxmlformats.org/officeDocument/2006/docPropsVTypes">
  <Template>Normal</Template>
  <TotalTime>0</TotalTime>
  <Pages>3</Pages>
  <Words>688</Words>
  <Characters>3789</Characters>
  <Application>Microsoft Office Word</Application>
  <DocSecurity>4</DocSecurity>
  <Lines>31</Lines>
  <Paragraphs>8</Paragraphs>
  <ScaleCrop>false</ScaleCrop>
  <HeadingPairs>
    <vt:vector size="2" baseType="variant">
      <vt:variant>
        <vt:lpstr>Titre</vt:lpstr>
      </vt:variant>
      <vt:variant>
        <vt:i4>1</vt:i4>
      </vt:variant>
    </vt:vector>
  </HeadingPairs>
  <TitlesOfParts>
    <vt:vector size="1" baseType="lpstr">
      <vt:lpstr>5859</vt:lpstr>
    </vt:vector>
  </TitlesOfParts>
  <Company/>
  <LinksUpToDate>false</LinksUpToDate>
  <CharactersWithSpaces>4469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Pascal Reiser</dc:creator>
  <cp:keywords/>
  <cp:lastModifiedBy>SYSTEM</cp:lastModifiedBy>
  <cp:revision>2</cp:revision>
  <dcterms:created xsi:type="dcterms:W3CDTF">2024-02-21T07:58:00Z</dcterms:created>
  <dcterms:modified xsi:type="dcterms:W3CDTF">2024-02-21T07:58:00Z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