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AE" w:rsidRPr="00D21AAE" w:rsidRDefault="00D21AAE" w:rsidP="00D21AAE">
      <w:pPr>
        <w:keepNext w:val="0"/>
        <w:widowControl w:val="0"/>
        <w:spacing w:after="0" w:line="360" w:lineRule="auto"/>
        <w:jc w:val="center"/>
        <w:rPr>
          <w:rFonts w:ascii="Arial" w:hAnsi="Arial" w:cs="Arial"/>
          <w:b/>
          <w:sz w:val="22"/>
          <w:lang w:eastAsia="de-DE"/>
        </w:rPr>
      </w:pPr>
      <w:bookmarkStart w:id="0" w:name="_GoBack"/>
      <w:bookmarkEnd w:id="0"/>
      <w:r w:rsidRPr="00D21AAE">
        <w:rPr>
          <w:rFonts w:ascii="Arial" w:hAnsi="Arial" w:cs="Arial"/>
          <w:b/>
          <w:sz w:val="22"/>
          <w:lang w:eastAsia="de-DE"/>
        </w:rPr>
        <w:t>Projet de loi n°7451</w:t>
      </w:r>
    </w:p>
    <w:p w:rsidR="00D21AAE" w:rsidRPr="00D21AAE" w:rsidRDefault="00D21AAE" w:rsidP="00D21AAE">
      <w:pPr>
        <w:keepNext w:val="0"/>
        <w:widowControl w:val="0"/>
        <w:spacing w:after="0" w:line="360" w:lineRule="auto"/>
        <w:jc w:val="center"/>
        <w:rPr>
          <w:rFonts w:ascii="Arial" w:hAnsi="Arial" w:cs="Arial"/>
          <w:b/>
          <w:sz w:val="22"/>
          <w:lang w:eastAsia="de-DE"/>
        </w:rPr>
      </w:pPr>
    </w:p>
    <w:p w:rsidR="00D21AAE" w:rsidRPr="00D21AAE" w:rsidRDefault="00D21AAE" w:rsidP="00D21AAE">
      <w:pPr>
        <w:keepNext w:val="0"/>
        <w:widowControl w:val="0"/>
        <w:spacing w:after="0" w:line="360" w:lineRule="auto"/>
        <w:jc w:val="center"/>
        <w:rPr>
          <w:rFonts w:ascii="Arial" w:hAnsi="Arial" w:cs="Arial"/>
          <w:b/>
          <w:sz w:val="22"/>
          <w:lang w:eastAsia="de-DE"/>
        </w:rPr>
      </w:pPr>
      <w:r w:rsidRPr="00D21AAE">
        <w:rPr>
          <w:rFonts w:ascii="Arial" w:hAnsi="Arial" w:cs="Arial"/>
          <w:b/>
          <w:sz w:val="22"/>
          <w:lang w:eastAsia="de-DE"/>
        </w:rPr>
        <w:t xml:space="preserve">relatif à la programmation financière pluriannuelle </w:t>
      </w:r>
    </w:p>
    <w:p w:rsidR="00D21AAE" w:rsidRPr="00D21AAE" w:rsidRDefault="00D21AAE" w:rsidP="00D21AAE">
      <w:pPr>
        <w:keepNext w:val="0"/>
        <w:widowControl w:val="0"/>
        <w:spacing w:after="0" w:line="360" w:lineRule="auto"/>
        <w:jc w:val="center"/>
        <w:rPr>
          <w:rFonts w:ascii="Arial" w:hAnsi="Arial" w:cs="Arial"/>
          <w:b/>
          <w:sz w:val="22"/>
          <w:lang w:eastAsia="de-DE"/>
        </w:rPr>
      </w:pPr>
      <w:r w:rsidRPr="00D21AAE">
        <w:rPr>
          <w:rFonts w:ascii="Arial" w:hAnsi="Arial" w:cs="Arial"/>
          <w:b/>
          <w:sz w:val="22"/>
          <w:lang w:eastAsia="de-DE"/>
        </w:rPr>
        <w:t>pour la période 2018-2022</w:t>
      </w:r>
    </w:p>
    <w:p w:rsidR="00D21AAE" w:rsidRDefault="00D21AAE" w:rsidP="00D21AAE">
      <w:pPr>
        <w:autoSpaceDE w:val="0"/>
        <w:autoSpaceDN w:val="0"/>
        <w:adjustRightInd w:val="0"/>
        <w:spacing w:after="0"/>
        <w:ind w:firstLine="0"/>
        <w:rPr>
          <w:rFonts w:ascii="Arial" w:hAnsi="Arial" w:cs="Arial"/>
          <w:sz w:val="22"/>
          <w:lang w:eastAsia="fr-LU"/>
        </w:rPr>
      </w:pPr>
    </w:p>
    <w:p w:rsidR="00D21AAE" w:rsidRDefault="00D21AAE" w:rsidP="00D21AAE">
      <w:pPr>
        <w:pBdr>
          <w:bottom w:val="single" w:sz="12" w:space="1" w:color="auto"/>
        </w:pBdr>
        <w:autoSpaceDE w:val="0"/>
        <w:autoSpaceDN w:val="0"/>
        <w:adjustRightInd w:val="0"/>
        <w:spacing w:after="0"/>
        <w:ind w:firstLine="0"/>
        <w:jc w:val="center"/>
        <w:rPr>
          <w:rFonts w:ascii="Arial" w:hAnsi="Arial" w:cs="Arial"/>
          <w:b/>
          <w:sz w:val="24"/>
          <w:szCs w:val="24"/>
          <w:lang w:eastAsia="fr-LU"/>
        </w:rPr>
      </w:pPr>
      <w:r>
        <w:rPr>
          <w:rFonts w:ascii="Arial" w:hAnsi="Arial" w:cs="Arial"/>
          <w:b/>
          <w:sz w:val="24"/>
          <w:szCs w:val="24"/>
          <w:lang w:eastAsia="fr-LU"/>
        </w:rPr>
        <w:t>Résumé</w:t>
      </w:r>
    </w:p>
    <w:p w:rsidR="00D21AAE" w:rsidRDefault="00D21AAE" w:rsidP="00D21AAE">
      <w:pPr>
        <w:pBdr>
          <w:bottom w:val="single" w:sz="12" w:space="1" w:color="auto"/>
        </w:pBdr>
        <w:autoSpaceDE w:val="0"/>
        <w:autoSpaceDN w:val="0"/>
        <w:adjustRightInd w:val="0"/>
        <w:spacing w:after="0"/>
        <w:ind w:firstLine="0"/>
        <w:jc w:val="center"/>
        <w:rPr>
          <w:rFonts w:ascii="Arial" w:hAnsi="Arial" w:cs="Arial"/>
          <w:b/>
          <w:sz w:val="24"/>
          <w:szCs w:val="24"/>
          <w:lang w:eastAsia="fr-LU"/>
        </w:rPr>
      </w:pPr>
    </w:p>
    <w:p w:rsidR="00D21AAE" w:rsidRDefault="00D21AAE" w:rsidP="00D21AAE">
      <w:pPr>
        <w:autoSpaceDE w:val="0"/>
        <w:autoSpaceDN w:val="0"/>
        <w:adjustRightInd w:val="0"/>
        <w:spacing w:after="0"/>
        <w:ind w:firstLine="0"/>
        <w:rPr>
          <w:rFonts w:ascii="Arial" w:hAnsi="Arial" w:cs="Arial"/>
          <w:sz w:val="22"/>
          <w:lang w:eastAsia="fr-LU"/>
        </w:rPr>
      </w:pPr>
    </w:p>
    <w:p w:rsidR="00D21AAE" w:rsidRPr="003A0CDD" w:rsidRDefault="00D21AAE" w:rsidP="00D21AAE">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Depuis le vote de la loi du 12 juillet 2014 relative à la coordination et à la gouvernance des finances publiques, les lois de programmation pluriannuelle font partie intégrante de l’encadrement législatif dans le domaine des finances publiques. Elles ont pour finalité de définir les orientations financières pluriannuelles des 3 secteurs de l’Administration publique : Etat, administrations locales et administrations de sécurité sociale. Ces orientations pluriannuelles s’insèrent dans l’objectif d’équilibre des comptes des administrations publiques.</w:t>
      </w:r>
    </w:p>
    <w:p w:rsidR="00D21AAE" w:rsidRPr="003A0CDD" w:rsidRDefault="00D21AAE" w:rsidP="00D21AAE">
      <w:pPr>
        <w:autoSpaceDE w:val="0"/>
        <w:autoSpaceDN w:val="0"/>
        <w:adjustRightInd w:val="0"/>
        <w:spacing w:after="0"/>
        <w:ind w:firstLine="0"/>
        <w:rPr>
          <w:rFonts w:ascii="Arial" w:hAnsi="Arial" w:cs="Arial"/>
          <w:sz w:val="22"/>
          <w:lang w:eastAsia="fr-LU"/>
        </w:rPr>
      </w:pPr>
    </w:p>
    <w:p w:rsidR="00D21AAE" w:rsidRPr="003A0CDD" w:rsidRDefault="00D21AAE" w:rsidP="00D21AAE">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La loi de programmation pluriannuelle a pour mission principale d’arrêter l’objectif budgétaire à moyen terme de l’Administration publique (OMT) ainsi que la trajectoire d’ajustement qui permet sa réalisation. Elle a également pour but de présenter l’évolution de la dette publique ainsi que la décomposition des soldes annuels par sous-secteur des administrations publiques.</w:t>
      </w:r>
    </w:p>
    <w:p w:rsidR="00D21AAE" w:rsidRPr="003A0CDD" w:rsidRDefault="00D21AAE" w:rsidP="00D21AAE">
      <w:pPr>
        <w:autoSpaceDE w:val="0"/>
        <w:autoSpaceDN w:val="0"/>
        <w:adjustRightInd w:val="0"/>
        <w:spacing w:after="0"/>
        <w:ind w:firstLine="0"/>
        <w:rPr>
          <w:rFonts w:ascii="Arial" w:hAnsi="Arial" w:cs="Arial"/>
          <w:sz w:val="22"/>
          <w:lang w:eastAsia="fr-LU"/>
        </w:rPr>
      </w:pPr>
    </w:p>
    <w:p w:rsidR="00D21AAE" w:rsidRDefault="00D21AAE" w:rsidP="00D21AAE">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La programmation financière couvre une période mobile de cinq ans comprenant l’année en cours et les quatre années suivantes, donc la période 201</w:t>
      </w:r>
      <w:r w:rsidR="00AC5D68">
        <w:rPr>
          <w:rFonts w:ascii="Arial" w:hAnsi="Arial" w:cs="Arial"/>
          <w:sz w:val="22"/>
          <w:lang w:eastAsia="fr-LU"/>
        </w:rPr>
        <w:t>8</w:t>
      </w:r>
      <w:r w:rsidRPr="003A0CDD">
        <w:rPr>
          <w:rFonts w:ascii="Arial" w:hAnsi="Arial" w:cs="Arial"/>
          <w:sz w:val="22"/>
          <w:lang w:eastAsia="fr-LU"/>
        </w:rPr>
        <w:t xml:space="preserve"> à 202</w:t>
      </w:r>
      <w:r w:rsidR="00AC5D68">
        <w:rPr>
          <w:rFonts w:ascii="Arial" w:hAnsi="Arial" w:cs="Arial"/>
          <w:sz w:val="22"/>
          <w:lang w:eastAsia="fr-LU"/>
        </w:rPr>
        <w:t>2</w:t>
      </w:r>
      <w:r w:rsidRPr="003A0CDD">
        <w:rPr>
          <w:rFonts w:ascii="Arial" w:hAnsi="Arial" w:cs="Arial"/>
          <w:sz w:val="22"/>
          <w:lang w:eastAsia="fr-LU"/>
        </w:rPr>
        <w:t xml:space="preserve"> pour le présent projet de loi. </w:t>
      </w:r>
    </w:p>
    <w:p w:rsidR="00AC5D68" w:rsidRPr="003A0CDD" w:rsidRDefault="00AC5D68" w:rsidP="00D21AAE">
      <w:pPr>
        <w:autoSpaceDE w:val="0"/>
        <w:autoSpaceDN w:val="0"/>
        <w:adjustRightInd w:val="0"/>
        <w:spacing w:after="0"/>
        <w:ind w:firstLine="0"/>
        <w:rPr>
          <w:rFonts w:ascii="Arial" w:hAnsi="Arial" w:cs="Arial"/>
          <w:sz w:val="22"/>
          <w:lang w:eastAsia="fr-LU"/>
        </w:rPr>
      </w:pPr>
    </w:p>
    <w:p w:rsidR="00AC5D68" w:rsidRPr="00AC5D68" w:rsidRDefault="00AC5D68" w:rsidP="00AC5D68">
      <w:pPr>
        <w:ind w:firstLine="0"/>
        <w:rPr>
          <w:rFonts w:ascii="Arial" w:hAnsi="Arial" w:cs="Arial"/>
          <w:sz w:val="22"/>
        </w:rPr>
      </w:pPr>
      <w:r w:rsidRPr="00AC5D68">
        <w:rPr>
          <w:rFonts w:ascii="Arial" w:hAnsi="Arial" w:cs="Arial"/>
          <w:sz w:val="22"/>
        </w:rPr>
        <w:t>Le solde nominal des administrations publiques évolue comme suit, au titre de la période 2018-2022</w:t>
      </w:r>
      <w:r>
        <w:rPr>
          <w:rFonts w:ascii="Arial" w:hAnsi="Arial" w:cs="Arial"/>
          <w:sz w:val="22"/>
        </w:rPr>
        <w:t xml:space="preserve"> (</w:t>
      </w:r>
      <w:r w:rsidRPr="00AC5D68">
        <w:rPr>
          <w:rFonts w:ascii="Arial" w:hAnsi="Arial" w:cs="Arial"/>
          <w:i/>
          <w:sz w:val="22"/>
        </w:rPr>
        <w:t>article 2</w:t>
      </w:r>
      <w:r>
        <w:rPr>
          <w:rFonts w:ascii="Arial" w:hAnsi="Arial" w:cs="Arial"/>
          <w:sz w:val="22"/>
        </w:rPr>
        <w:t>)</w:t>
      </w:r>
      <w:r w:rsidRPr="00AC5D68">
        <w:rPr>
          <w:rFonts w:ascii="Arial" w:hAnsi="Arial" w:cs="Arial"/>
          <w:sz w:val="22"/>
        </w:rPr>
        <w:t> :</w:t>
      </w:r>
    </w:p>
    <w:p w:rsidR="00AC5D68" w:rsidRPr="00AC5D68" w:rsidRDefault="00AC5D68" w:rsidP="00AC5D68"/>
    <w:tbl>
      <w:tblPr>
        <w:tblW w:w="8223" w:type="dxa"/>
        <w:tblInd w:w="496" w:type="dxa"/>
        <w:tblLayout w:type="fixed"/>
        <w:tblCellMar>
          <w:left w:w="70" w:type="dxa"/>
          <w:right w:w="70" w:type="dxa"/>
        </w:tblCellMar>
        <w:tblLook w:val="04A0" w:firstRow="1" w:lastRow="0" w:firstColumn="1" w:lastColumn="0" w:noHBand="0" w:noVBand="1"/>
      </w:tblPr>
      <w:tblGrid>
        <w:gridCol w:w="3970"/>
        <w:gridCol w:w="850"/>
        <w:gridCol w:w="851"/>
        <w:gridCol w:w="850"/>
        <w:gridCol w:w="851"/>
        <w:gridCol w:w="851"/>
      </w:tblGrid>
      <w:tr w:rsidR="00AC5D68" w:rsidRPr="00AC5D68" w:rsidTr="006679E2">
        <w:trPr>
          <w:trHeight w:val="255"/>
          <w:tblHeader/>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AC5D68" w:rsidRPr="00AC5D68" w:rsidRDefault="00AC5D68" w:rsidP="00AC5D68">
            <w:pPr>
              <w:rPr>
                <w:lang w:val="fr-L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C5D68" w:rsidRPr="00AC5D68" w:rsidRDefault="00AC5D68" w:rsidP="00AC5D68">
            <w:r w:rsidRPr="00AC5D68">
              <w:t>2018</w:t>
            </w:r>
          </w:p>
        </w:tc>
        <w:tc>
          <w:tcPr>
            <w:tcW w:w="851" w:type="dxa"/>
            <w:tcBorders>
              <w:top w:val="single" w:sz="4" w:space="0" w:color="auto"/>
              <w:left w:val="nil"/>
              <w:bottom w:val="single" w:sz="4" w:space="0" w:color="auto"/>
              <w:right w:val="single" w:sz="4" w:space="0" w:color="auto"/>
            </w:tcBorders>
            <w:shd w:val="clear" w:color="auto" w:fill="auto"/>
            <w:vAlign w:val="center"/>
          </w:tcPr>
          <w:p w:rsidR="00AC5D68" w:rsidRPr="00AC5D68" w:rsidRDefault="00AC5D68" w:rsidP="00AC5D68">
            <w:r w:rsidRPr="00AC5D68">
              <w:t>2019</w:t>
            </w:r>
          </w:p>
        </w:tc>
        <w:tc>
          <w:tcPr>
            <w:tcW w:w="850" w:type="dxa"/>
            <w:tcBorders>
              <w:top w:val="single" w:sz="4" w:space="0" w:color="auto"/>
              <w:left w:val="nil"/>
              <w:bottom w:val="single" w:sz="4" w:space="0" w:color="auto"/>
              <w:right w:val="single" w:sz="4" w:space="0" w:color="auto"/>
            </w:tcBorders>
            <w:shd w:val="clear" w:color="auto" w:fill="auto"/>
            <w:vAlign w:val="center"/>
          </w:tcPr>
          <w:p w:rsidR="00AC5D68" w:rsidRPr="00AC5D68" w:rsidRDefault="00AC5D68" w:rsidP="00AC5D68">
            <w:r w:rsidRPr="00AC5D68">
              <w:t>2020</w:t>
            </w:r>
          </w:p>
        </w:tc>
        <w:tc>
          <w:tcPr>
            <w:tcW w:w="851" w:type="dxa"/>
            <w:tcBorders>
              <w:top w:val="single" w:sz="4" w:space="0" w:color="auto"/>
              <w:left w:val="nil"/>
              <w:bottom w:val="single" w:sz="4" w:space="0" w:color="auto"/>
              <w:right w:val="single" w:sz="4" w:space="0" w:color="auto"/>
            </w:tcBorders>
            <w:shd w:val="clear" w:color="auto" w:fill="auto"/>
            <w:vAlign w:val="center"/>
          </w:tcPr>
          <w:p w:rsidR="00AC5D68" w:rsidRPr="00AC5D68" w:rsidRDefault="00AC5D68" w:rsidP="00AC5D68">
            <w:r w:rsidRPr="00AC5D68">
              <w:t>2021</w:t>
            </w:r>
          </w:p>
        </w:tc>
        <w:tc>
          <w:tcPr>
            <w:tcW w:w="851" w:type="dxa"/>
            <w:tcBorders>
              <w:top w:val="single" w:sz="4" w:space="0" w:color="auto"/>
              <w:left w:val="nil"/>
              <w:bottom w:val="single" w:sz="4" w:space="0" w:color="auto"/>
              <w:right w:val="single" w:sz="4" w:space="0" w:color="auto"/>
            </w:tcBorders>
            <w:vAlign w:val="center"/>
          </w:tcPr>
          <w:p w:rsidR="00AC5D68" w:rsidRPr="00AC5D68" w:rsidRDefault="00AC5D68" w:rsidP="00AC5D68">
            <w:r w:rsidRPr="00AC5D68">
              <w:t>2022</w:t>
            </w:r>
          </w:p>
        </w:tc>
      </w:tr>
      <w:tr w:rsidR="00AC5D68" w:rsidRPr="00AC5D68" w:rsidTr="006679E2">
        <w:trPr>
          <w:trHeight w:val="227"/>
        </w:trPr>
        <w:tc>
          <w:tcPr>
            <w:tcW w:w="3970" w:type="dxa"/>
            <w:tcBorders>
              <w:top w:val="single" w:sz="4" w:space="0" w:color="auto"/>
              <w:left w:val="single" w:sz="4" w:space="0" w:color="auto"/>
              <w:right w:val="single" w:sz="4" w:space="0" w:color="auto"/>
            </w:tcBorders>
            <w:shd w:val="clear" w:color="auto" w:fill="auto"/>
            <w:noWrap/>
            <w:vAlign w:val="bottom"/>
          </w:tcPr>
          <w:p w:rsidR="00AC5D68" w:rsidRPr="00AC5D68" w:rsidRDefault="00AC5D68" w:rsidP="00AC5D68">
            <w:r w:rsidRPr="00AC5D68">
              <w:rPr>
                <w:lang w:val="fr-LU"/>
              </w:rPr>
              <w:t>En % du PIB </w:t>
            </w:r>
            <w:r w:rsidRPr="00AC5D68">
              <w:rPr>
                <w:lang w:val="fr-LU"/>
              </w:rPr>
              <w:tab/>
            </w:r>
          </w:p>
        </w:tc>
        <w:tc>
          <w:tcPr>
            <w:tcW w:w="850" w:type="dxa"/>
            <w:tcBorders>
              <w:top w:val="single" w:sz="4" w:space="0" w:color="auto"/>
              <w:left w:val="nil"/>
              <w:right w:val="single" w:sz="4" w:space="0" w:color="auto"/>
            </w:tcBorders>
            <w:shd w:val="clear" w:color="auto" w:fill="auto"/>
            <w:noWrap/>
            <w:vAlign w:val="center"/>
          </w:tcPr>
          <w:p w:rsidR="00AC5D68" w:rsidRPr="00AC5D68" w:rsidRDefault="00AC5D68" w:rsidP="00AC5D68">
            <w:r w:rsidRPr="00AC5D68">
              <w:t>2,6%</w:t>
            </w:r>
          </w:p>
        </w:tc>
        <w:tc>
          <w:tcPr>
            <w:tcW w:w="851" w:type="dxa"/>
            <w:tcBorders>
              <w:top w:val="single" w:sz="4" w:space="0" w:color="auto"/>
              <w:left w:val="nil"/>
              <w:right w:val="single" w:sz="4" w:space="0" w:color="auto"/>
            </w:tcBorders>
            <w:shd w:val="clear" w:color="auto" w:fill="auto"/>
            <w:noWrap/>
            <w:vAlign w:val="center"/>
          </w:tcPr>
          <w:p w:rsidR="00AC5D68" w:rsidRPr="00AC5D68" w:rsidRDefault="00AC5D68" w:rsidP="00AC5D68">
            <w:r w:rsidRPr="00AC5D68">
              <w:t>1,0%</w:t>
            </w:r>
          </w:p>
        </w:tc>
        <w:tc>
          <w:tcPr>
            <w:tcW w:w="850" w:type="dxa"/>
            <w:tcBorders>
              <w:top w:val="single" w:sz="4" w:space="0" w:color="auto"/>
              <w:left w:val="nil"/>
              <w:right w:val="single" w:sz="4" w:space="0" w:color="auto"/>
            </w:tcBorders>
            <w:shd w:val="clear" w:color="auto" w:fill="auto"/>
            <w:noWrap/>
            <w:vAlign w:val="center"/>
          </w:tcPr>
          <w:p w:rsidR="00AC5D68" w:rsidRPr="00AC5D68" w:rsidRDefault="00AC5D68" w:rsidP="00AC5D68">
            <w:r w:rsidRPr="00AC5D68">
              <w:t>1,4%</w:t>
            </w:r>
          </w:p>
        </w:tc>
        <w:tc>
          <w:tcPr>
            <w:tcW w:w="851" w:type="dxa"/>
            <w:tcBorders>
              <w:top w:val="single" w:sz="4" w:space="0" w:color="auto"/>
              <w:left w:val="nil"/>
              <w:right w:val="single" w:sz="4" w:space="0" w:color="auto"/>
            </w:tcBorders>
            <w:shd w:val="clear" w:color="auto" w:fill="auto"/>
            <w:noWrap/>
            <w:vAlign w:val="center"/>
          </w:tcPr>
          <w:p w:rsidR="00AC5D68" w:rsidRPr="00AC5D68" w:rsidRDefault="00AC5D68" w:rsidP="00AC5D68">
            <w:r w:rsidRPr="00AC5D68">
              <w:t>1,5%</w:t>
            </w:r>
          </w:p>
        </w:tc>
        <w:tc>
          <w:tcPr>
            <w:tcW w:w="851" w:type="dxa"/>
            <w:tcBorders>
              <w:top w:val="single" w:sz="4" w:space="0" w:color="auto"/>
              <w:left w:val="nil"/>
              <w:right w:val="single" w:sz="4" w:space="0" w:color="auto"/>
            </w:tcBorders>
            <w:vAlign w:val="center"/>
          </w:tcPr>
          <w:p w:rsidR="00AC5D68" w:rsidRPr="00AC5D68" w:rsidRDefault="00AC5D68" w:rsidP="00AC5D68">
            <w:r w:rsidRPr="00AC5D68">
              <w:t>2,0%</w:t>
            </w:r>
          </w:p>
        </w:tc>
      </w:tr>
      <w:tr w:rsidR="00AC5D68" w:rsidRPr="00AC5D68" w:rsidTr="006679E2">
        <w:trPr>
          <w:trHeight w:val="227"/>
        </w:trPr>
        <w:tc>
          <w:tcPr>
            <w:tcW w:w="3970" w:type="dxa"/>
            <w:tcBorders>
              <w:left w:val="single" w:sz="4" w:space="0" w:color="auto"/>
              <w:bottom w:val="single" w:sz="4" w:space="0" w:color="auto"/>
              <w:right w:val="single" w:sz="4" w:space="0" w:color="auto"/>
            </w:tcBorders>
            <w:shd w:val="clear" w:color="auto" w:fill="auto"/>
            <w:vAlign w:val="bottom"/>
          </w:tcPr>
          <w:p w:rsidR="00AC5D68" w:rsidRPr="00AC5D68" w:rsidRDefault="00AC5D68" w:rsidP="00AC5D68">
            <w:pPr>
              <w:rPr>
                <w:lang w:val="fr-LU"/>
              </w:rPr>
            </w:pPr>
            <w:r w:rsidRPr="00AC5D68">
              <w:rPr>
                <w:lang w:val="fr-LU"/>
              </w:rPr>
              <w:t>En millions d’euros</w:t>
            </w:r>
            <w:r w:rsidRPr="00AC5D68">
              <w:rPr>
                <w:lang w:val="fr-LU"/>
              </w:rPr>
              <w:tab/>
            </w:r>
          </w:p>
        </w:tc>
        <w:tc>
          <w:tcPr>
            <w:tcW w:w="850" w:type="dxa"/>
            <w:tcBorders>
              <w:left w:val="single" w:sz="4" w:space="0" w:color="auto"/>
              <w:bottom w:val="single" w:sz="4" w:space="0" w:color="auto"/>
              <w:right w:val="single" w:sz="4" w:space="0" w:color="auto"/>
            </w:tcBorders>
            <w:shd w:val="clear" w:color="auto" w:fill="auto"/>
            <w:vAlign w:val="center"/>
          </w:tcPr>
          <w:p w:rsidR="00AC5D68" w:rsidRPr="00AC5D68" w:rsidRDefault="00AC5D68" w:rsidP="00AC5D68">
            <w:r w:rsidRPr="00AC5D68">
              <w:t>1 514</w:t>
            </w:r>
          </w:p>
        </w:tc>
        <w:tc>
          <w:tcPr>
            <w:tcW w:w="851" w:type="dxa"/>
            <w:tcBorders>
              <w:left w:val="nil"/>
              <w:bottom w:val="single" w:sz="4" w:space="0" w:color="auto"/>
              <w:right w:val="single" w:sz="4" w:space="0" w:color="auto"/>
            </w:tcBorders>
            <w:shd w:val="clear" w:color="auto" w:fill="auto"/>
            <w:vAlign w:val="center"/>
          </w:tcPr>
          <w:p w:rsidR="00AC5D68" w:rsidRPr="00AC5D68" w:rsidRDefault="00AC5D68" w:rsidP="00AC5D68">
            <w:r w:rsidRPr="00AC5D68">
              <w:t>632</w:t>
            </w:r>
          </w:p>
        </w:tc>
        <w:tc>
          <w:tcPr>
            <w:tcW w:w="850" w:type="dxa"/>
            <w:tcBorders>
              <w:left w:val="nil"/>
              <w:bottom w:val="single" w:sz="4" w:space="0" w:color="auto"/>
              <w:right w:val="single" w:sz="4" w:space="0" w:color="auto"/>
            </w:tcBorders>
            <w:shd w:val="clear" w:color="auto" w:fill="auto"/>
            <w:vAlign w:val="center"/>
          </w:tcPr>
          <w:p w:rsidR="00AC5D68" w:rsidRPr="00AC5D68" w:rsidRDefault="00AC5D68" w:rsidP="00AC5D68">
            <w:r w:rsidRPr="00AC5D68">
              <w:t>876</w:t>
            </w:r>
          </w:p>
        </w:tc>
        <w:tc>
          <w:tcPr>
            <w:tcW w:w="851" w:type="dxa"/>
            <w:tcBorders>
              <w:left w:val="nil"/>
              <w:bottom w:val="single" w:sz="4" w:space="0" w:color="auto"/>
              <w:right w:val="single" w:sz="4" w:space="0" w:color="auto"/>
            </w:tcBorders>
            <w:shd w:val="clear" w:color="auto" w:fill="auto"/>
            <w:vAlign w:val="center"/>
          </w:tcPr>
          <w:p w:rsidR="00AC5D68" w:rsidRPr="00AC5D68" w:rsidRDefault="00AC5D68" w:rsidP="00AC5D68">
            <w:r w:rsidRPr="00AC5D68">
              <w:t>1 002</w:t>
            </w:r>
          </w:p>
        </w:tc>
        <w:tc>
          <w:tcPr>
            <w:tcW w:w="851" w:type="dxa"/>
            <w:tcBorders>
              <w:left w:val="nil"/>
              <w:bottom w:val="single" w:sz="4" w:space="0" w:color="auto"/>
              <w:right w:val="single" w:sz="4" w:space="0" w:color="auto"/>
            </w:tcBorders>
            <w:vAlign w:val="center"/>
          </w:tcPr>
          <w:p w:rsidR="00AC5D68" w:rsidRPr="00AC5D68" w:rsidRDefault="00AC5D68" w:rsidP="00AC5D68">
            <w:r w:rsidRPr="00AC5D68">
              <w:t>1 449</w:t>
            </w:r>
          </w:p>
        </w:tc>
      </w:tr>
    </w:tbl>
    <w:p w:rsidR="00AC5D68" w:rsidRPr="00AC5D68" w:rsidRDefault="00AC5D68" w:rsidP="00AC5D68">
      <w:pPr>
        <w:ind w:firstLine="0"/>
        <w:rPr>
          <w:u w:val="single"/>
        </w:rPr>
      </w:pPr>
    </w:p>
    <w:p w:rsidR="00AC5D68" w:rsidRPr="00AC5D68" w:rsidRDefault="00AC5D68" w:rsidP="00AC5D68">
      <w:pPr>
        <w:ind w:firstLine="0"/>
        <w:rPr>
          <w:rFonts w:ascii="Arial" w:hAnsi="Arial" w:cs="Arial"/>
          <w:sz w:val="22"/>
        </w:rPr>
      </w:pPr>
      <w:r w:rsidRPr="00AC5D68">
        <w:rPr>
          <w:rFonts w:ascii="Arial" w:hAnsi="Arial" w:cs="Arial"/>
          <w:sz w:val="22"/>
        </w:rPr>
        <w:t>Les soldes nominaux et structurels de la trajectoire d’ajustement vers l’objectif budgétaire à moyen terme évoluent comme suit au titre de la période 2018 à 2022</w:t>
      </w:r>
      <w:r>
        <w:rPr>
          <w:rFonts w:ascii="Arial" w:hAnsi="Arial" w:cs="Arial"/>
          <w:sz w:val="22"/>
        </w:rPr>
        <w:t xml:space="preserve"> (</w:t>
      </w:r>
      <w:r w:rsidRPr="00AC5D68">
        <w:rPr>
          <w:rFonts w:ascii="Arial" w:hAnsi="Arial" w:cs="Arial"/>
          <w:i/>
          <w:sz w:val="22"/>
        </w:rPr>
        <w:t>article 3</w:t>
      </w:r>
      <w:r>
        <w:rPr>
          <w:rFonts w:ascii="Arial" w:hAnsi="Arial" w:cs="Arial"/>
          <w:sz w:val="22"/>
        </w:rPr>
        <w:t>)</w:t>
      </w:r>
      <w:r w:rsidRPr="00AC5D68">
        <w:rPr>
          <w:rFonts w:ascii="Arial" w:hAnsi="Arial" w:cs="Arial"/>
          <w:sz w:val="22"/>
        </w:rPr>
        <w:t xml:space="preserve"> : </w:t>
      </w:r>
    </w:p>
    <w:p w:rsidR="00AC5D68" w:rsidRPr="00AC5D68" w:rsidRDefault="00AC5D68" w:rsidP="00AC5D68">
      <w:pPr>
        <w:ind w:firstLine="0"/>
      </w:pPr>
    </w:p>
    <w:tbl>
      <w:tblPr>
        <w:tblW w:w="8222" w:type="dxa"/>
        <w:tblInd w:w="496" w:type="dxa"/>
        <w:tblLayout w:type="fixed"/>
        <w:tblCellMar>
          <w:left w:w="70" w:type="dxa"/>
          <w:right w:w="70" w:type="dxa"/>
        </w:tblCellMar>
        <w:tblLook w:val="04A0" w:firstRow="1" w:lastRow="0" w:firstColumn="1" w:lastColumn="0" w:noHBand="0" w:noVBand="1"/>
      </w:tblPr>
      <w:tblGrid>
        <w:gridCol w:w="3260"/>
        <w:gridCol w:w="993"/>
        <w:gridCol w:w="993"/>
        <w:gridCol w:w="992"/>
        <w:gridCol w:w="992"/>
        <w:gridCol w:w="992"/>
      </w:tblGrid>
      <w:tr w:rsidR="00AC5D68" w:rsidRPr="00AC5D68" w:rsidTr="006679E2">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5D68" w:rsidRPr="00AC5D68" w:rsidRDefault="00AC5D68" w:rsidP="00AC5D68">
            <w:pPr>
              <w:rPr>
                <w:lang w:val="fr-LU"/>
              </w:rPr>
            </w:pPr>
            <w:r w:rsidRPr="00AC5D68">
              <w:rPr>
                <w:lang w:val="fr-LU"/>
              </w:rPr>
              <w:t>En % du PIB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5D68" w:rsidRPr="00AC5D68" w:rsidRDefault="00AC5D68" w:rsidP="00AC5D68">
            <w:r w:rsidRPr="00AC5D68">
              <w:t>2018</w:t>
            </w:r>
          </w:p>
        </w:tc>
        <w:tc>
          <w:tcPr>
            <w:tcW w:w="993" w:type="dxa"/>
            <w:tcBorders>
              <w:top w:val="single" w:sz="4" w:space="0" w:color="auto"/>
              <w:left w:val="nil"/>
              <w:bottom w:val="single" w:sz="4" w:space="0" w:color="auto"/>
              <w:right w:val="single" w:sz="4" w:space="0" w:color="auto"/>
            </w:tcBorders>
            <w:shd w:val="clear" w:color="auto" w:fill="auto"/>
            <w:vAlign w:val="center"/>
          </w:tcPr>
          <w:p w:rsidR="00AC5D68" w:rsidRPr="00AC5D68" w:rsidRDefault="00AC5D68" w:rsidP="00AC5D68">
            <w:r w:rsidRPr="00AC5D68">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AC5D68" w:rsidRPr="00AC5D68" w:rsidRDefault="00AC5D68" w:rsidP="00AC5D68">
            <w:r w:rsidRPr="00AC5D68">
              <w:t>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AC5D68" w:rsidRPr="00AC5D68" w:rsidRDefault="00AC5D68" w:rsidP="00AC5D68">
            <w:r w:rsidRPr="00AC5D68">
              <w:t>2021</w:t>
            </w:r>
          </w:p>
        </w:tc>
        <w:tc>
          <w:tcPr>
            <w:tcW w:w="992" w:type="dxa"/>
            <w:tcBorders>
              <w:top w:val="single" w:sz="4" w:space="0" w:color="auto"/>
              <w:left w:val="nil"/>
              <w:bottom w:val="single" w:sz="4" w:space="0" w:color="auto"/>
              <w:right w:val="single" w:sz="4" w:space="0" w:color="auto"/>
            </w:tcBorders>
            <w:vAlign w:val="center"/>
          </w:tcPr>
          <w:p w:rsidR="00AC5D68" w:rsidRPr="00AC5D68" w:rsidRDefault="00AC5D68" w:rsidP="00AC5D68">
            <w:r w:rsidRPr="00AC5D68">
              <w:t>2022</w:t>
            </w:r>
          </w:p>
        </w:tc>
      </w:tr>
      <w:tr w:rsidR="00AC5D68" w:rsidRPr="00AC5D68" w:rsidTr="006679E2">
        <w:trPr>
          <w:trHeight w:val="227"/>
        </w:trPr>
        <w:tc>
          <w:tcPr>
            <w:tcW w:w="3260" w:type="dxa"/>
            <w:tcBorders>
              <w:top w:val="nil"/>
              <w:left w:val="single" w:sz="4" w:space="0" w:color="auto"/>
              <w:bottom w:val="nil"/>
              <w:right w:val="single" w:sz="4" w:space="0" w:color="auto"/>
            </w:tcBorders>
            <w:shd w:val="clear" w:color="auto" w:fill="auto"/>
            <w:noWrap/>
            <w:vAlign w:val="bottom"/>
          </w:tcPr>
          <w:p w:rsidR="00AC5D68" w:rsidRPr="00AC5D68" w:rsidRDefault="00AC5D68" w:rsidP="00AC5D68">
            <w:r w:rsidRPr="00AC5D68">
              <w:t>- Administration centrale</w:t>
            </w:r>
            <w:r w:rsidRPr="00AC5D68">
              <w:tab/>
            </w:r>
          </w:p>
        </w:tc>
        <w:tc>
          <w:tcPr>
            <w:tcW w:w="993" w:type="dxa"/>
            <w:tcBorders>
              <w:top w:val="nil"/>
              <w:left w:val="nil"/>
              <w:bottom w:val="nil"/>
              <w:right w:val="single" w:sz="4" w:space="0" w:color="auto"/>
            </w:tcBorders>
            <w:shd w:val="clear" w:color="auto" w:fill="auto"/>
            <w:noWrap/>
            <w:vAlign w:val="bottom"/>
          </w:tcPr>
          <w:p w:rsidR="00AC5D68" w:rsidRPr="00AC5D68" w:rsidRDefault="00AC5D68" w:rsidP="00AC5D68">
            <w:r w:rsidRPr="00AC5D68">
              <w:t>0,2%</w:t>
            </w:r>
          </w:p>
        </w:tc>
        <w:tc>
          <w:tcPr>
            <w:tcW w:w="993" w:type="dxa"/>
            <w:tcBorders>
              <w:top w:val="nil"/>
              <w:left w:val="nil"/>
              <w:bottom w:val="nil"/>
              <w:right w:val="single" w:sz="4" w:space="0" w:color="auto"/>
            </w:tcBorders>
            <w:shd w:val="clear" w:color="auto" w:fill="auto"/>
            <w:noWrap/>
            <w:vAlign w:val="bottom"/>
          </w:tcPr>
          <w:p w:rsidR="00AC5D68" w:rsidRPr="00AC5D68" w:rsidRDefault="00AC5D68" w:rsidP="00AC5D68">
            <w:r w:rsidRPr="00AC5D68">
              <w:t>-1,1%</w:t>
            </w:r>
          </w:p>
        </w:tc>
        <w:tc>
          <w:tcPr>
            <w:tcW w:w="992" w:type="dxa"/>
            <w:tcBorders>
              <w:top w:val="nil"/>
              <w:left w:val="nil"/>
              <w:bottom w:val="nil"/>
              <w:right w:val="single" w:sz="4" w:space="0" w:color="auto"/>
            </w:tcBorders>
            <w:shd w:val="clear" w:color="auto" w:fill="auto"/>
            <w:noWrap/>
            <w:vAlign w:val="bottom"/>
          </w:tcPr>
          <w:p w:rsidR="00AC5D68" w:rsidRPr="00AC5D68" w:rsidRDefault="00AC5D68" w:rsidP="00AC5D68">
            <w:r w:rsidRPr="00AC5D68">
              <w:t>-0,8%</w:t>
            </w:r>
          </w:p>
        </w:tc>
        <w:tc>
          <w:tcPr>
            <w:tcW w:w="992" w:type="dxa"/>
            <w:tcBorders>
              <w:top w:val="nil"/>
              <w:left w:val="nil"/>
              <w:bottom w:val="nil"/>
              <w:right w:val="single" w:sz="4" w:space="0" w:color="auto"/>
            </w:tcBorders>
            <w:shd w:val="clear" w:color="auto" w:fill="auto"/>
            <w:noWrap/>
            <w:vAlign w:val="bottom"/>
          </w:tcPr>
          <w:p w:rsidR="00AC5D68" w:rsidRPr="00AC5D68" w:rsidRDefault="00AC5D68" w:rsidP="00AC5D68">
            <w:r w:rsidRPr="00AC5D68">
              <w:t>-0,7%</w:t>
            </w:r>
          </w:p>
        </w:tc>
        <w:tc>
          <w:tcPr>
            <w:tcW w:w="992" w:type="dxa"/>
            <w:tcBorders>
              <w:top w:val="nil"/>
              <w:left w:val="nil"/>
              <w:bottom w:val="nil"/>
              <w:right w:val="single" w:sz="4" w:space="0" w:color="auto"/>
            </w:tcBorders>
            <w:vAlign w:val="bottom"/>
          </w:tcPr>
          <w:p w:rsidR="00AC5D68" w:rsidRPr="00AC5D68" w:rsidRDefault="00AC5D68" w:rsidP="00AC5D68">
            <w:r w:rsidRPr="00AC5D68">
              <w:t>-0,1%</w:t>
            </w:r>
          </w:p>
        </w:tc>
      </w:tr>
      <w:tr w:rsidR="00AC5D68" w:rsidRPr="00AC5D68" w:rsidTr="006679E2">
        <w:trPr>
          <w:trHeight w:val="227"/>
        </w:trPr>
        <w:tc>
          <w:tcPr>
            <w:tcW w:w="3260" w:type="dxa"/>
            <w:tcBorders>
              <w:top w:val="nil"/>
              <w:left w:val="single" w:sz="4" w:space="0" w:color="auto"/>
              <w:right w:val="single" w:sz="4" w:space="0" w:color="auto"/>
            </w:tcBorders>
            <w:shd w:val="clear" w:color="auto" w:fill="auto"/>
            <w:noWrap/>
            <w:vAlign w:val="bottom"/>
          </w:tcPr>
          <w:p w:rsidR="00AC5D68" w:rsidRPr="00AC5D68" w:rsidRDefault="00AC5D68" w:rsidP="00AC5D68">
            <w:r w:rsidRPr="00AC5D68">
              <w:t>- Administrations locales</w:t>
            </w:r>
            <w:r w:rsidRPr="00AC5D68">
              <w:tab/>
            </w:r>
          </w:p>
        </w:tc>
        <w:tc>
          <w:tcPr>
            <w:tcW w:w="993" w:type="dxa"/>
            <w:tcBorders>
              <w:top w:val="nil"/>
              <w:left w:val="nil"/>
              <w:right w:val="single" w:sz="4" w:space="0" w:color="auto"/>
            </w:tcBorders>
            <w:shd w:val="clear" w:color="000000" w:fill="FFFFFF"/>
            <w:noWrap/>
            <w:vAlign w:val="bottom"/>
          </w:tcPr>
          <w:p w:rsidR="00AC5D68" w:rsidRPr="00AC5D68" w:rsidRDefault="00AC5D68" w:rsidP="00AC5D68">
            <w:r w:rsidRPr="00AC5D68">
              <w:t>0,6%</w:t>
            </w:r>
          </w:p>
        </w:tc>
        <w:tc>
          <w:tcPr>
            <w:tcW w:w="993" w:type="dxa"/>
            <w:tcBorders>
              <w:top w:val="nil"/>
              <w:left w:val="nil"/>
              <w:right w:val="single" w:sz="4" w:space="0" w:color="auto"/>
            </w:tcBorders>
            <w:shd w:val="clear" w:color="000000" w:fill="FFFFFF"/>
            <w:noWrap/>
            <w:vAlign w:val="bottom"/>
          </w:tcPr>
          <w:p w:rsidR="00AC5D68" w:rsidRPr="00AC5D68" w:rsidRDefault="00AC5D68" w:rsidP="00AC5D68">
            <w:r w:rsidRPr="00AC5D68">
              <w:t>0,5%</w:t>
            </w:r>
          </w:p>
        </w:tc>
        <w:tc>
          <w:tcPr>
            <w:tcW w:w="992" w:type="dxa"/>
            <w:tcBorders>
              <w:top w:val="nil"/>
              <w:left w:val="nil"/>
              <w:right w:val="single" w:sz="4" w:space="0" w:color="auto"/>
            </w:tcBorders>
            <w:shd w:val="clear" w:color="000000" w:fill="FFFFFF"/>
            <w:noWrap/>
            <w:vAlign w:val="bottom"/>
          </w:tcPr>
          <w:p w:rsidR="00AC5D68" w:rsidRPr="00AC5D68" w:rsidRDefault="00AC5D68" w:rsidP="00AC5D68">
            <w:r w:rsidRPr="00AC5D68">
              <w:t>0,5%</w:t>
            </w:r>
          </w:p>
        </w:tc>
        <w:tc>
          <w:tcPr>
            <w:tcW w:w="992" w:type="dxa"/>
            <w:tcBorders>
              <w:top w:val="nil"/>
              <w:left w:val="nil"/>
              <w:right w:val="single" w:sz="4" w:space="0" w:color="auto"/>
            </w:tcBorders>
            <w:shd w:val="clear" w:color="000000" w:fill="FFFFFF"/>
            <w:noWrap/>
            <w:vAlign w:val="bottom"/>
          </w:tcPr>
          <w:p w:rsidR="00AC5D68" w:rsidRPr="00AC5D68" w:rsidRDefault="00AC5D68" w:rsidP="00AC5D68">
            <w:r w:rsidRPr="00AC5D68">
              <w:t>0,6%</w:t>
            </w:r>
          </w:p>
        </w:tc>
        <w:tc>
          <w:tcPr>
            <w:tcW w:w="992" w:type="dxa"/>
            <w:tcBorders>
              <w:top w:val="nil"/>
              <w:left w:val="nil"/>
              <w:right w:val="single" w:sz="4" w:space="0" w:color="auto"/>
            </w:tcBorders>
            <w:shd w:val="clear" w:color="000000" w:fill="FFFFFF"/>
            <w:vAlign w:val="bottom"/>
          </w:tcPr>
          <w:p w:rsidR="00AC5D68" w:rsidRPr="00AC5D68" w:rsidRDefault="00AC5D68" w:rsidP="00AC5D68">
            <w:r w:rsidRPr="00AC5D68">
              <w:t>0,5%</w:t>
            </w:r>
          </w:p>
        </w:tc>
      </w:tr>
      <w:tr w:rsidR="00AC5D68" w:rsidRPr="00AC5D68" w:rsidTr="006679E2">
        <w:trPr>
          <w:trHeight w:val="227"/>
        </w:trPr>
        <w:tc>
          <w:tcPr>
            <w:tcW w:w="3260" w:type="dxa"/>
            <w:tcBorders>
              <w:top w:val="nil"/>
              <w:left w:val="single" w:sz="4" w:space="0" w:color="auto"/>
              <w:right w:val="single" w:sz="4" w:space="0" w:color="auto"/>
            </w:tcBorders>
            <w:shd w:val="clear" w:color="auto" w:fill="auto"/>
            <w:noWrap/>
            <w:vAlign w:val="bottom"/>
          </w:tcPr>
          <w:p w:rsidR="00AC5D68" w:rsidRPr="00AC5D68" w:rsidRDefault="00AC5D68" w:rsidP="00AC5D68">
            <w:r w:rsidRPr="00AC5D68">
              <w:t>- Administrations de sécurité sociale</w:t>
            </w:r>
            <w:r w:rsidRPr="00AC5D68">
              <w:tab/>
            </w:r>
          </w:p>
        </w:tc>
        <w:tc>
          <w:tcPr>
            <w:tcW w:w="993" w:type="dxa"/>
            <w:tcBorders>
              <w:top w:val="nil"/>
              <w:left w:val="nil"/>
              <w:right w:val="single" w:sz="4" w:space="0" w:color="auto"/>
            </w:tcBorders>
            <w:shd w:val="clear" w:color="000000" w:fill="FFFFFF"/>
            <w:noWrap/>
            <w:vAlign w:val="bottom"/>
          </w:tcPr>
          <w:p w:rsidR="00AC5D68" w:rsidRPr="00AC5D68" w:rsidRDefault="00AC5D68" w:rsidP="00AC5D68">
            <w:r w:rsidRPr="00AC5D68">
              <w:t>1,8%</w:t>
            </w:r>
          </w:p>
        </w:tc>
        <w:tc>
          <w:tcPr>
            <w:tcW w:w="993" w:type="dxa"/>
            <w:tcBorders>
              <w:top w:val="nil"/>
              <w:left w:val="nil"/>
              <w:right w:val="single" w:sz="4" w:space="0" w:color="auto"/>
            </w:tcBorders>
            <w:shd w:val="clear" w:color="000000" w:fill="FFFFFF"/>
            <w:noWrap/>
            <w:vAlign w:val="bottom"/>
          </w:tcPr>
          <w:p w:rsidR="00AC5D68" w:rsidRPr="00AC5D68" w:rsidRDefault="00AC5D68" w:rsidP="00AC5D68">
            <w:r w:rsidRPr="00AC5D68">
              <w:t>1,6%</w:t>
            </w:r>
          </w:p>
        </w:tc>
        <w:tc>
          <w:tcPr>
            <w:tcW w:w="992" w:type="dxa"/>
            <w:tcBorders>
              <w:top w:val="nil"/>
              <w:left w:val="nil"/>
              <w:right w:val="single" w:sz="4" w:space="0" w:color="auto"/>
            </w:tcBorders>
            <w:shd w:val="clear" w:color="000000" w:fill="FFFFFF"/>
            <w:noWrap/>
            <w:vAlign w:val="bottom"/>
          </w:tcPr>
          <w:p w:rsidR="00AC5D68" w:rsidRPr="00AC5D68" w:rsidRDefault="00AC5D68" w:rsidP="00AC5D68">
            <w:r w:rsidRPr="00AC5D68">
              <w:t>1,6%</w:t>
            </w:r>
          </w:p>
        </w:tc>
        <w:tc>
          <w:tcPr>
            <w:tcW w:w="992" w:type="dxa"/>
            <w:tcBorders>
              <w:top w:val="nil"/>
              <w:left w:val="nil"/>
              <w:right w:val="single" w:sz="4" w:space="0" w:color="auto"/>
            </w:tcBorders>
            <w:shd w:val="clear" w:color="000000" w:fill="FFFFFF"/>
            <w:noWrap/>
            <w:vAlign w:val="bottom"/>
          </w:tcPr>
          <w:p w:rsidR="00AC5D68" w:rsidRPr="00AC5D68" w:rsidRDefault="00AC5D68" w:rsidP="00AC5D68">
            <w:r w:rsidRPr="00AC5D68">
              <w:t>1,6%</w:t>
            </w:r>
          </w:p>
        </w:tc>
        <w:tc>
          <w:tcPr>
            <w:tcW w:w="992" w:type="dxa"/>
            <w:tcBorders>
              <w:top w:val="nil"/>
              <w:left w:val="nil"/>
              <w:right w:val="single" w:sz="4" w:space="0" w:color="auto"/>
            </w:tcBorders>
            <w:shd w:val="clear" w:color="000000" w:fill="FFFFFF"/>
            <w:vAlign w:val="bottom"/>
          </w:tcPr>
          <w:p w:rsidR="00AC5D68" w:rsidRPr="00AC5D68" w:rsidRDefault="00AC5D68" w:rsidP="00AC5D68">
            <w:r w:rsidRPr="00AC5D68">
              <w:t>1,6%</w:t>
            </w:r>
          </w:p>
        </w:tc>
      </w:tr>
      <w:tr w:rsidR="00AC5D68" w:rsidRPr="00AC5D68" w:rsidTr="006679E2">
        <w:trPr>
          <w:trHeight w:val="227"/>
        </w:trPr>
        <w:tc>
          <w:tcPr>
            <w:tcW w:w="3260" w:type="dxa"/>
            <w:tcBorders>
              <w:left w:val="single" w:sz="4" w:space="0" w:color="auto"/>
              <w:right w:val="single" w:sz="4" w:space="0" w:color="auto"/>
            </w:tcBorders>
            <w:shd w:val="clear" w:color="auto" w:fill="auto"/>
            <w:noWrap/>
            <w:vAlign w:val="bottom"/>
          </w:tcPr>
          <w:p w:rsidR="00AC5D68" w:rsidRPr="00AC5D68" w:rsidRDefault="00AC5D68" w:rsidP="00AC5D68">
            <w:r w:rsidRPr="00AC5D68">
              <w:t>- Administrations publiques :</w:t>
            </w:r>
          </w:p>
        </w:tc>
        <w:tc>
          <w:tcPr>
            <w:tcW w:w="993" w:type="dxa"/>
            <w:tcBorders>
              <w:left w:val="nil"/>
              <w:right w:val="single" w:sz="4" w:space="0" w:color="auto"/>
            </w:tcBorders>
            <w:shd w:val="clear" w:color="000000" w:fill="FFFFFF"/>
            <w:noWrap/>
            <w:vAlign w:val="center"/>
          </w:tcPr>
          <w:p w:rsidR="00AC5D68" w:rsidRPr="00AC5D68" w:rsidRDefault="00AC5D68" w:rsidP="00AC5D68">
            <w:r w:rsidRPr="00AC5D68">
              <w:t> </w:t>
            </w:r>
          </w:p>
        </w:tc>
        <w:tc>
          <w:tcPr>
            <w:tcW w:w="993" w:type="dxa"/>
            <w:tcBorders>
              <w:left w:val="nil"/>
              <w:right w:val="single" w:sz="4" w:space="0" w:color="auto"/>
            </w:tcBorders>
            <w:shd w:val="clear" w:color="000000" w:fill="FFFFFF"/>
            <w:noWrap/>
            <w:vAlign w:val="center"/>
          </w:tcPr>
          <w:p w:rsidR="00AC5D68" w:rsidRPr="00AC5D68" w:rsidRDefault="00AC5D68" w:rsidP="00AC5D68">
            <w:r w:rsidRPr="00AC5D68">
              <w:t> </w:t>
            </w:r>
          </w:p>
        </w:tc>
        <w:tc>
          <w:tcPr>
            <w:tcW w:w="992" w:type="dxa"/>
            <w:tcBorders>
              <w:left w:val="nil"/>
              <w:right w:val="single" w:sz="4" w:space="0" w:color="auto"/>
            </w:tcBorders>
            <w:shd w:val="clear" w:color="000000" w:fill="FFFFFF"/>
            <w:noWrap/>
            <w:vAlign w:val="center"/>
          </w:tcPr>
          <w:p w:rsidR="00AC5D68" w:rsidRPr="00AC5D68" w:rsidRDefault="00AC5D68" w:rsidP="00AC5D68">
            <w:r w:rsidRPr="00AC5D68">
              <w:t> </w:t>
            </w:r>
          </w:p>
        </w:tc>
        <w:tc>
          <w:tcPr>
            <w:tcW w:w="992" w:type="dxa"/>
            <w:tcBorders>
              <w:left w:val="nil"/>
              <w:right w:val="single" w:sz="4" w:space="0" w:color="auto"/>
            </w:tcBorders>
            <w:shd w:val="clear" w:color="000000" w:fill="FFFFFF"/>
            <w:noWrap/>
            <w:vAlign w:val="center"/>
          </w:tcPr>
          <w:p w:rsidR="00AC5D68" w:rsidRPr="00AC5D68" w:rsidRDefault="00AC5D68" w:rsidP="00AC5D68">
            <w:r w:rsidRPr="00AC5D68">
              <w:t> </w:t>
            </w:r>
          </w:p>
        </w:tc>
        <w:tc>
          <w:tcPr>
            <w:tcW w:w="992" w:type="dxa"/>
            <w:tcBorders>
              <w:left w:val="nil"/>
              <w:right w:val="single" w:sz="4" w:space="0" w:color="auto"/>
            </w:tcBorders>
            <w:shd w:val="clear" w:color="000000" w:fill="FFFFFF"/>
            <w:vAlign w:val="center"/>
          </w:tcPr>
          <w:p w:rsidR="00AC5D68" w:rsidRPr="00AC5D68" w:rsidRDefault="00AC5D68" w:rsidP="00AC5D68">
            <w:r w:rsidRPr="00AC5D68">
              <w:t> </w:t>
            </w:r>
          </w:p>
        </w:tc>
      </w:tr>
      <w:tr w:rsidR="00AC5D68" w:rsidRPr="00AC5D68" w:rsidTr="006679E2">
        <w:trPr>
          <w:trHeight w:val="227"/>
        </w:trPr>
        <w:tc>
          <w:tcPr>
            <w:tcW w:w="3260" w:type="dxa"/>
            <w:tcBorders>
              <w:left w:val="single" w:sz="4" w:space="0" w:color="auto"/>
              <w:right w:val="single" w:sz="4" w:space="0" w:color="auto"/>
            </w:tcBorders>
            <w:shd w:val="clear" w:color="auto" w:fill="auto"/>
            <w:noWrap/>
            <w:vAlign w:val="bottom"/>
          </w:tcPr>
          <w:p w:rsidR="00AC5D68" w:rsidRPr="00AC5D68" w:rsidRDefault="00AC5D68" w:rsidP="00AC5D68">
            <w:r w:rsidRPr="00AC5D68">
              <w:t>- Solde nominal</w:t>
            </w:r>
            <w:r w:rsidRPr="00AC5D68">
              <w:tab/>
            </w:r>
          </w:p>
        </w:tc>
        <w:tc>
          <w:tcPr>
            <w:tcW w:w="993" w:type="dxa"/>
            <w:tcBorders>
              <w:left w:val="nil"/>
              <w:right w:val="single" w:sz="4" w:space="0" w:color="auto"/>
            </w:tcBorders>
            <w:shd w:val="clear" w:color="000000" w:fill="FFFFFF"/>
            <w:noWrap/>
            <w:vAlign w:val="bottom"/>
          </w:tcPr>
          <w:p w:rsidR="00AC5D68" w:rsidRPr="00AC5D68" w:rsidRDefault="00AC5D68" w:rsidP="00AC5D68">
            <w:pPr>
              <w:rPr>
                <w:bCs/>
              </w:rPr>
            </w:pPr>
            <w:r w:rsidRPr="00AC5D68">
              <w:rPr>
                <w:bCs/>
              </w:rPr>
              <w:t>2,6%</w:t>
            </w:r>
          </w:p>
        </w:tc>
        <w:tc>
          <w:tcPr>
            <w:tcW w:w="993" w:type="dxa"/>
            <w:tcBorders>
              <w:left w:val="nil"/>
              <w:right w:val="single" w:sz="4" w:space="0" w:color="auto"/>
            </w:tcBorders>
            <w:shd w:val="clear" w:color="000000" w:fill="FFFFFF"/>
            <w:noWrap/>
            <w:vAlign w:val="bottom"/>
          </w:tcPr>
          <w:p w:rsidR="00AC5D68" w:rsidRPr="00AC5D68" w:rsidRDefault="00AC5D68" w:rsidP="00AC5D68">
            <w:pPr>
              <w:rPr>
                <w:bCs/>
              </w:rPr>
            </w:pPr>
            <w:r w:rsidRPr="00AC5D68">
              <w:rPr>
                <w:bCs/>
              </w:rPr>
              <w:t>1,0%</w:t>
            </w:r>
          </w:p>
        </w:tc>
        <w:tc>
          <w:tcPr>
            <w:tcW w:w="992" w:type="dxa"/>
            <w:tcBorders>
              <w:left w:val="nil"/>
              <w:right w:val="single" w:sz="4" w:space="0" w:color="auto"/>
            </w:tcBorders>
            <w:shd w:val="clear" w:color="000000" w:fill="FFFFFF"/>
            <w:noWrap/>
            <w:vAlign w:val="bottom"/>
          </w:tcPr>
          <w:p w:rsidR="00AC5D68" w:rsidRPr="00AC5D68" w:rsidRDefault="00AC5D68" w:rsidP="00AC5D68">
            <w:pPr>
              <w:rPr>
                <w:bCs/>
              </w:rPr>
            </w:pPr>
            <w:r w:rsidRPr="00AC5D68">
              <w:rPr>
                <w:bCs/>
              </w:rPr>
              <w:t>1,4%</w:t>
            </w:r>
          </w:p>
        </w:tc>
        <w:tc>
          <w:tcPr>
            <w:tcW w:w="992" w:type="dxa"/>
            <w:tcBorders>
              <w:left w:val="nil"/>
              <w:right w:val="single" w:sz="4" w:space="0" w:color="auto"/>
            </w:tcBorders>
            <w:shd w:val="clear" w:color="000000" w:fill="FFFFFF"/>
            <w:noWrap/>
            <w:vAlign w:val="bottom"/>
          </w:tcPr>
          <w:p w:rsidR="00AC5D68" w:rsidRPr="00AC5D68" w:rsidRDefault="00AC5D68" w:rsidP="00AC5D68">
            <w:pPr>
              <w:rPr>
                <w:bCs/>
              </w:rPr>
            </w:pPr>
            <w:r w:rsidRPr="00AC5D68">
              <w:rPr>
                <w:bCs/>
              </w:rPr>
              <w:t>1,5%</w:t>
            </w:r>
          </w:p>
        </w:tc>
        <w:tc>
          <w:tcPr>
            <w:tcW w:w="992" w:type="dxa"/>
            <w:tcBorders>
              <w:left w:val="nil"/>
              <w:right w:val="single" w:sz="4" w:space="0" w:color="auto"/>
            </w:tcBorders>
            <w:shd w:val="clear" w:color="000000" w:fill="FFFFFF"/>
            <w:vAlign w:val="bottom"/>
          </w:tcPr>
          <w:p w:rsidR="00AC5D68" w:rsidRPr="00AC5D68" w:rsidRDefault="00AC5D68" w:rsidP="00AC5D68">
            <w:pPr>
              <w:rPr>
                <w:bCs/>
              </w:rPr>
            </w:pPr>
            <w:r w:rsidRPr="00AC5D68">
              <w:rPr>
                <w:bCs/>
              </w:rPr>
              <w:t>2,0%</w:t>
            </w:r>
          </w:p>
        </w:tc>
      </w:tr>
      <w:tr w:rsidR="00AC5D68" w:rsidRPr="00AC5D68" w:rsidTr="006679E2">
        <w:trPr>
          <w:trHeight w:val="227"/>
        </w:trPr>
        <w:tc>
          <w:tcPr>
            <w:tcW w:w="3260" w:type="dxa"/>
            <w:tcBorders>
              <w:left w:val="single" w:sz="4" w:space="0" w:color="auto"/>
              <w:bottom w:val="single" w:sz="4" w:space="0" w:color="auto"/>
              <w:right w:val="single" w:sz="4" w:space="0" w:color="auto"/>
            </w:tcBorders>
            <w:shd w:val="clear" w:color="auto" w:fill="auto"/>
            <w:noWrap/>
            <w:vAlign w:val="bottom"/>
          </w:tcPr>
          <w:p w:rsidR="00AC5D68" w:rsidRPr="00AC5D68" w:rsidRDefault="00AC5D68" w:rsidP="00AC5D68">
            <w:r w:rsidRPr="00AC5D68">
              <w:t>- Solde structurel</w:t>
            </w:r>
            <w:r w:rsidRPr="00AC5D68">
              <w:tab/>
            </w:r>
          </w:p>
        </w:tc>
        <w:tc>
          <w:tcPr>
            <w:tcW w:w="993" w:type="dxa"/>
            <w:tcBorders>
              <w:left w:val="nil"/>
              <w:bottom w:val="single" w:sz="4" w:space="0" w:color="auto"/>
              <w:right w:val="single" w:sz="4" w:space="0" w:color="auto"/>
            </w:tcBorders>
            <w:shd w:val="clear" w:color="000000" w:fill="FFFFFF"/>
            <w:noWrap/>
            <w:vAlign w:val="bottom"/>
          </w:tcPr>
          <w:p w:rsidR="00AC5D68" w:rsidRPr="00AC5D68" w:rsidRDefault="00AC5D68" w:rsidP="00AC5D68">
            <w:pPr>
              <w:rPr>
                <w:bCs/>
              </w:rPr>
            </w:pPr>
            <w:r w:rsidRPr="00AC5D68">
              <w:rPr>
                <w:bCs/>
              </w:rPr>
              <w:t>2,6%</w:t>
            </w:r>
          </w:p>
        </w:tc>
        <w:tc>
          <w:tcPr>
            <w:tcW w:w="993" w:type="dxa"/>
            <w:tcBorders>
              <w:left w:val="nil"/>
              <w:bottom w:val="single" w:sz="4" w:space="0" w:color="auto"/>
              <w:right w:val="single" w:sz="4" w:space="0" w:color="auto"/>
            </w:tcBorders>
            <w:shd w:val="clear" w:color="000000" w:fill="FFFFFF"/>
            <w:noWrap/>
            <w:vAlign w:val="bottom"/>
          </w:tcPr>
          <w:p w:rsidR="00AC5D68" w:rsidRPr="00AC5D68" w:rsidRDefault="00AC5D68" w:rsidP="00AC5D68">
            <w:pPr>
              <w:rPr>
                <w:bCs/>
              </w:rPr>
            </w:pPr>
            <w:r w:rsidRPr="00AC5D68">
              <w:rPr>
                <w:bCs/>
              </w:rPr>
              <w:t>0,9%</w:t>
            </w:r>
          </w:p>
        </w:tc>
        <w:tc>
          <w:tcPr>
            <w:tcW w:w="992" w:type="dxa"/>
            <w:tcBorders>
              <w:left w:val="nil"/>
              <w:bottom w:val="single" w:sz="4" w:space="0" w:color="auto"/>
              <w:right w:val="single" w:sz="4" w:space="0" w:color="auto"/>
            </w:tcBorders>
            <w:shd w:val="clear" w:color="000000" w:fill="FFFFFF"/>
            <w:noWrap/>
            <w:vAlign w:val="bottom"/>
          </w:tcPr>
          <w:p w:rsidR="00AC5D68" w:rsidRPr="00AC5D68" w:rsidRDefault="00AC5D68" w:rsidP="00AC5D68">
            <w:pPr>
              <w:rPr>
                <w:bCs/>
              </w:rPr>
            </w:pPr>
            <w:r w:rsidRPr="00AC5D68">
              <w:rPr>
                <w:bCs/>
              </w:rPr>
              <w:t>0,8%</w:t>
            </w:r>
          </w:p>
        </w:tc>
        <w:tc>
          <w:tcPr>
            <w:tcW w:w="992" w:type="dxa"/>
            <w:tcBorders>
              <w:left w:val="nil"/>
              <w:bottom w:val="single" w:sz="4" w:space="0" w:color="auto"/>
              <w:right w:val="single" w:sz="4" w:space="0" w:color="auto"/>
            </w:tcBorders>
            <w:shd w:val="clear" w:color="000000" w:fill="FFFFFF"/>
            <w:noWrap/>
            <w:vAlign w:val="bottom"/>
          </w:tcPr>
          <w:p w:rsidR="00AC5D68" w:rsidRPr="00AC5D68" w:rsidRDefault="00AC5D68" w:rsidP="00AC5D68">
            <w:pPr>
              <w:rPr>
                <w:bCs/>
              </w:rPr>
            </w:pPr>
            <w:r w:rsidRPr="00AC5D68">
              <w:rPr>
                <w:bCs/>
              </w:rPr>
              <w:t>1,1%</w:t>
            </w:r>
          </w:p>
        </w:tc>
        <w:tc>
          <w:tcPr>
            <w:tcW w:w="992" w:type="dxa"/>
            <w:tcBorders>
              <w:left w:val="nil"/>
              <w:bottom w:val="single" w:sz="4" w:space="0" w:color="auto"/>
              <w:right w:val="single" w:sz="4" w:space="0" w:color="auto"/>
            </w:tcBorders>
            <w:shd w:val="clear" w:color="000000" w:fill="FFFFFF"/>
            <w:vAlign w:val="bottom"/>
          </w:tcPr>
          <w:p w:rsidR="00AC5D68" w:rsidRPr="00AC5D68" w:rsidRDefault="00AC5D68" w:rsidP="00AC5D68">
            <w:pPr>
              <w:rPr>
                <w:bCs/>
              </w:rPr>
            </w:pPr>
            <w:r w:rsidRPr="00AC5D68">
              <w:rPr>
                <w:bCs/>
              </w:rPr>
              <w:t>1,8%</w:t>
            </w:r>
          </w:p>
        </w:tc>
      </w:tr>
    </w:tbl>
    <w:p w:rsidR="006679E2" w:rsidRDefault="006679E2" w:rsidP="00AC5D68">
      <w:pPr>
        <w:ind w:firstLine="0"/>
      </w:pPr>
    </w:p>
    <w:sectPr w:rsidR="00667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A74"/>
    <w:multiLevelType w:val="multilevel"/>
    <w:tmpl w:val="85C66EDE"/>
    <w:lvl w:ilvl="0">
      <w:start w:val="2"/>
      <w:numFmt w:val="decimal"/>
      <w:lvlText w:val="Art. %1."/>
      <w:lvlJc w:val="left"/>
      <w:pPr>
        <w:ind w:left="720" w:hanging="360"/>
      </w:pPr>
      <w:rPr>
        <w:rFonts w:ascii="Times New Roman" w:hAnsi="Times New Roman" w:cs="Times New Roman" w:hint="default"/>
        <w:b/>
        <w:i w:val="0"/>
        <w:sz w:val="20"/>
        <w:szCs w:val="2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AAE"/>
    <w:rsid w:val="0043469E"/>
    <w:rsid w:val="006679E2"/>
    <w:rsid w:val="00817C5C"/>
    <w:rsid w:val="00953760"/>
    <w:rsid w:val="00AC5D68"/>
    <w:rsid w:val="00B05313"/>
    <w:rsid w:val="00D032F3"/>
    <w:rsid w:val="00D21AA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EC08A5-099F-478D-84D3-02B722CC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udget"/>
    <w:qFormat/>
    <w:rsid w:val="00D21AAE"/>
    <w:pPr>
      <w:keepNext/>
      <w:spacing w:after="120"/>
      <w:ind w:firstLine="170"/>
      <w:jc w:val="both"/>
    </w:pPr>
    <w:rPr>
      <w:rFonts w:ascii="Times New Roman" w:eastAsia="Cambria" w:hAnsi="Times New Roman"/>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5FC851-859D-4E7F-B11D-8D4BAED2BB7F}"/>
</file>

<file path=customXml/itemProps2.xml><?xml version="1.0" encoding="utf-8"?>
<ds:datastoreItem xmlns:ds="http://schemas.openxmlformats.org/officeDocument/2006/customXml" ds:itemID="{6A1FF203-FD81-4B50-89CA-FFF9E5A23048}"/>
</file>

<file path=customXml/itemProps3.xml><?xml version="1.0" encoding="utf-8"?>
<ds:datastoreItem xmlns:ds="http://schemas.openxmlformats.org/officeDocument/2006/customXml" ds:itemID="{5D0AFBCA-9C57-40E1-B946-6A0FEFBCB3D5}"/>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1678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