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43" w:rsidRPr="00DF1298" w:rsidRDefault="00343243" w:rsidP="00343243">
      <w:pPr>
        <w:autoSpaceDE w:val="0"/>
        <w:autoSpaceDN w:val="0"/>
        <w:adjustRightInd w:val="0"/>
        <w:spacing w:after="0" w:line="240" w:lineRule="auto"/>
        <w:jc w:val="both"/>
        <w:rPr>
          <w:rFonts w:ascii="Arial" w:hAnsi="Arial" w:cs="Arial"/>
          <w:lang w:eastAsia="fr-LU"/>
        </w:rPr>
      </w:pPr>
      <w:bookmarkStart w:id="0" w:name="_GoBack"/>
      <w:bookmarkEnd w:id="0"/>
    </w:p>
    <w:p w:rsidR="00343243" w:rsidRPr="00DF1298" w:rsidRDefault="00343243" w:rsidP="00343243">
      <w:pPr>
        <w:spacing w:after="0" w:line="240" w:lineRule="auto"/>
        <w:jc w:val="center"/>
        <w:rPr>
          <w:rFonts w:ascii="Arial" w:hAnsi="Arial" w:cs="Arial"/>
          <w:bCs/>
          <w:u w:val="single"/>
          <w:lang w:eastAsia="fr-LU"/>
        </w:rPr>
      </w:pPr>
      <w:bookmarkStart w:id="1" w:name="_Toc495916943"/>
      <w:r w:rsidRPr="00DF1298">
        <w:rPr>
          <w:rFonts w:ascii="Arial" w:hAnsi="Arial" w:cs="Arial"/>
          <w:bCs/>
          <w:u w:val="single"/>
          <w:lang w:eastAsia="fr-LU"/>
        </w:rPr>
        <w:t>Le compte général de l’Etat de l’exercice 2018 suivant la législation nationale</w:t>
      </w:r>
      <w:bookmarkEnd w:id="1"/>
    </w:p>
    <w:p w:rsidR="00343243" w:rsidRPr="00DF1298" w:rsidRDefault="00343243" w:rsidP="00343243">
      <w:pPr>
        <w:spacing w:after="0" w:line="240" w:lineRule="auto"/>
        <w:jc w:val="both"/>
        <w:rPr>
          <w:rFonts w:ascii="Arial" w:hAnsi="Arial" w:cs="Arial"/>
          <w:lang w:eastAsia="fr-LU"/>
        </w:rPr>
      </w:pPr>
    </w:p>
    <w:p w:rsidR="00343243" w:rsidRPr="00DF1298" w:rsidRDefault="00343243" w:rsidP="00343243">
      <w:pPr>
        <w:autoSpaceDE w:val="0"/>
        <w:autoSpaceDN w:val="0"/>
        <w:adjustRightInd w:val="0"/>
        <w:spacing w:after="0" w:line="240" w:lineRule="auto"/>
        <w:jc w:val="center"/>
        <w:rPr>
          <w:rFonts w:ascii="Arial" w:hAnsi="Arial" w:cs="Arial"/>
          <w:lang w:eastAsia="fr-LU"/>
        </w:rPr>
      </w:pPr>
      <w:r w:rsidRPr="00DF1298">
        <w:rPr>
          <w:rFonts w:ascii="Arial" w:hAnsi="Arial" w:cs="Arial"/>
          <w:lang w:eastAsia="fr-LU"/>
        </w:rPr>
        <w:t>1. Balance du compte général de l’Etat de l’exercice 201</w:t>
      </w:r>
      <w:r>
        <w:rPr>
          <w:rFonts w:ascii="Arial" w:hAnsi="Arial" w:cs="Arial"/>
          <w:lang w:eastAsia="fr-LU"/>
        </w:rPr>
        <w:t>8</w:t>
      </w:r>
    </w:p>
    <w:p w:rsidR="00343243" w:rsidRPr="00DF1298" w:rsidRDefault="00343243" w:rsidP="00343243">
      <w:pPr>
        <w:spacing w:after="0" w:line="240" w:lineRule="auto"/>
        <w:jc w:val="both"/>
        <w:rPr>
          <w:rFonts w:ascii="Arial" w:hAnsi="Arial" w:cs="Arial"/>
          <w:lang w:eastAsia="fr-LU"/>
        </w:rPr>
      </w:pPr>
    </w:p>
    <w:p w:rsidR="00343243" w:rsidRPr="00DF1298" w:rsidRDefault="00343243" w:rsidP="00343243">
      <w:pPr>
        <w:spacing w:after="0" w:line="240" w:lineRule="auto"/>
        <w:jc w:val="both"/>
        <w:rPr>
          <w:rFonts w:ascii="Arial" w:hAnsi="Arial" w:cs="Arial"/>
        </w:rPr>
      </w:pPr>
      <w:r>
        <w:rPr>
          <w:rFonts w:ascii="Arial" w:hAnsi="Arial" w:cs="Arial"/>
        </w:rPr>
        <w:t>L</w:t>
      </w:r>
      <w:r w:rsidRPr="00DF1298">
        <w:rPr>
          <w:rFonts w:ascii="Arial" w:hAnsi="Arial" w:cs="Arial"/>
        </w:rPr>
        <w:t>e compte général de l’Etat « porte sur l’ensemble des recettes et dépenses de l’Etat par article budgétaire, ainsi que sur les fonds spéciaux, et est présenté suivant la même subdivision que le budget ».</w:t>
      </w:r>
    </w:p>
    <w:p w:rsidR="00343243" w:rsidRPr="00DF1298" w:rsidRDefault="00343243" w:rsidP="00343243">
      <w:pPr>
        <w:spacing w:after="0" w:line="240" w:lineRule="auto"/>
        <w:jc w:val="both"/>
        <w:rPr>
          <w:rFonts w:ascii="Arial" w:hAnsi="Arial" w:cs="Arial"/>
        </w:rPr>
      </w:pPr>
    </w:p>
    <w:p w:rsidR="00343243" w:rsidRPr="00DF1298" w:rsidRDefault="00343243" w:rsidP="00343243">
      <w:pPr>
        <w:spacing w:after="0" w:line="240" w:lineRule="auto"/>
        <w:jc w:val="both"/>
        <w:rPr>
          <w:rFonts w:ascii="Arial" w:hAnsi="Arial" w:cs="Arial"/>
        </w:rPr>
      </w:pPr>
      <w:r>
        <w:rPr>
          <w:rFonts w:ascii="Arial" w:hAnsi="Arial" w:cs="Arial"/>
        </w:rPr>
        <w:t>T</w:t>
      </w:r>
      <w:r w:rsidRPr="00DF1298">
        <w:rPr>
          <w:rFonts w:ascii="Arial" w:hAnsi="Arial" w:cs="Arial"/>
        </w:rPr>
        <w:t>ant le compte général que le budget pour ordre de l’exercice 2018 affichent un résultat négatif.</w:t>
      </w:r>
    </w:p>
    <w:tbl>
      <w:tblPr>
        <w:tblW w:w="7984" w:type="dxa"/>
        <w:tblInd w:w="1304" w:type="dxa"/>
        <w:tblLayout w:type="fixed"/>
        <w:tblCellMar>
          <w:left w:w="0" w:type="dxa"/>
          <w:right w:w="0" w:type="dxa"/>
        </w:tblCellMar>
        <w:tblLook w:val="0000" w:firstRow="0" w:lastRow="0" w:firstColumn="0" w:lastColumn="0" w:noHBand="0" w:noVBand="0"/>
      </w:tblPr>
      <w:tblGrid>
        <w:gridCol w:w="548"/>
        <w:gridCol w:w="5627"/>
        <w:gridCol w:w="1809"/>
      </w:tblGrid>
      <w:tr w:rsidR="00343243" w:rsidRPr="00DF1298" w:rsidTr="00EA1420">
        <w:trPr>
          <w:cantSplit/>
          <w:trHeight w:val="397"/>
        </w:trPr>
        <w:tc>
          <w:tcPr>
            <w:tcW w:w="7984" w:type="dxa"/>
            <w:gridSpan w:val="3"/>
            <w:tcMar>
              <w:top w:w="0" w:type="dxa"/>
              <w:left w:w="108" w:type="dxa"/>
              <w:bottom w:w="0" w:type="dxa"/>
              <w:right w:w="108" w:type="dxa"/>
            </w:tcMar>
            <w:vAlign w:val="center"/>
          </w:tcPr>
          <w:p w:rsidR="00343243" w:rsidRPr="00DF1298" w:rsidRDefault="00343243" w:rsidP="00343243">
            <w:pPr>
              <w:keepNext/>
              <w:spacing w:after="0" w:line="240" w:lineRule="auto"/>
              <w:jc w:val="center"/>
              <w:rPr>
                <w:rFonts w:ascii="Arial" w:hAnsi="Arial" w:cs="Arial"/>
              </w:rPr>
            </w:pPr>
            <w:r w:rsidRPr="00DF1298">
              <w:rPr>
                <w:rFonts w:ascii="Arial" w:hAnsi="Arial" w:cs="Arial"/>
                <w:b/>
                <w:bCs/>
              </w:rPr>
              <w:t>A. Recettes et dépenses courantes et en capital</w:t>
            </w:r>
          </w:p>
        </w:tc>
      </w:tr>
      <w:tr w:rsidR="00343243" w:rsidRPr="00DF1298" w:rsidTr="00EA1420">
        <w:trPr>
          <w:cantSplit/>
          <w:trHeight w:val="624"/>
        </w:trPr>
        <w:tc>
          <w:tcPr>
            <w:tcW w:w="548" w:type="dxa"/>
            <w:tcBorders>
              <w:top w:val="nil"/>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p>
        </w:tc>
        <w:tc>
          <w:tcPr>
            <w:tcW w:w="56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A445F5" w:rsidRDefault="00343243" w:rsidP="00343243">
            <w:pPr>
              <w:spacing w:after="0" w:line="240" w:lineRule="auto"/>
              <w:jc w:val="both"/>
              <w:rPr>
                <w:rFonts w:ascii="Arial" w:hAnsi="Arial" w:cs="Arial"/>
                <w:sz w:val="18"/>
                <w:szCs w:val="18"/>
              </w:rPr>
            </w:pPr>
            <w:r w:rsidRPr="00A445F5">
              <w:rPr>
                <w:rFonts w:ascii="Arial" w:hAnsi="Arial" w:cs="Arial"/>
                <w:sz w:val="18"/>
                <w:szCs w:val="18"/>
              </w:rPr>
              <w:t>Report du solde des recettes et dépenses courantes et en capital de l’année précédente</w:t>
            </w:r>
          </w:p>
        </w:tc>
        <w:tc>
          <w:tcPr>
            <w:tcW w:w="1809" w:type="dxa"/>
            <w:tcBorders>
              <w:top w:val="nil"/>
              <w:left w:val="single" w:sz="4" w:space="0" w:color="auto"/>
              <w:bottom w:val="single" w:sz="4" w:space="0" w:color="auto"/>
              <w:right w:val="nil"/>
            </w:tcBorders>
            <w:tcMar>
              <w:top w:w="0" w:type="dxa"/>
              <w:left w:w="108" w:type="dxa"/>
              <w:bottom w:w="0" w:type="dxa"/>
              <w:right w:w="108" w:type="dxa"/>
            </w:tcMar>
            <w:vAlign w:val="center"/>
          </w:tcPr>
          <w:p w:rsidR="00343243" w:rsidRPr="00A445F5" w:rsidRDefault="00343243" w:rsidP="00343243">
            <w:pPr>
              <w:spacing w:after="0" w:line="240" w:lineRule="auto"/>
              <w:jc w:val="right"/>
              <w:rPr>
                <w:rFonts w:ascii="Arial" w:hAnsi="Arial" w:cs="Arial"/>
                <w:sz w:val="18"/>
                <w:szCs w:val="18"/>
              </w:rPr>
            </w:pPr>
            <w:r w:rsidRPr="00A445F5">
              <w:rPr>
                <w:rFonts w:ascii="Arial" w:hAnsi="Arial" w:cs="Arial"/>
                <w:sz w:val="18"/>
                <w:szCs w:val="18"/>
              </w:rPr>
              <w:t>-1.073.070.429,49</w:t>
            </w:r>
          </w:p>
        </w:tc>
      </w:tr>
      <w:tr w:rsidR="00343243" w:rsidRPr="00DF1298" w:rsidTr="00EA1420">
        <w:trPr>
          <w:cantSplit/>
          <w:trHeight w:val="397"/>
        </w:trPr>
        <w:tc>
          <w:tcPr>
            <w:tcW w:w="548" w:type="dxa"/>
            <w:tcBorders>
              <w:top w:val="nil"/>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w:t>
            </w:r>
          </w:p>
        </w:tc>
        <w:tc>
          <w:tcPr>
            <w:tcW w:w="56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A445F5" w:rsidRDefault="00343243" w:rsidP="00343243">
            <w:pPr>
              <w:spacing w:after="0" w:line="240" w:lineRule="auto"/>
              <w:jc w:val="both"/>
              <w:rPr>
                <w:rFonts w:ascii="Arial" w:hAnsi="Arial" w:cs="Arial"/>
                <w:sz w:val="18"/>
                <w:szCs w:val="18"/>
              </w:rPr>
            </w:pPr>
            <w:r w:rsidRPr="00A445F5">
              <w:rPr>
                <w:rFonts w:ascii="Arial" w:hAnsi="Arial" w:cs="Arial"/>
                <w:sz w:val="18"/>
                <w:szCs w:val="18"/>
              </w:rPr>
              <w:t>Recettes</w:t>
            </w:r>
          </w:p>
        </w:tc>
        <w:tc>
          <w:tcPr>
            <w:tcW w:w="1809" w:type="dxa"/>
            <w:tcBorders>
              <w:top w:val="nil"/>
              <w:left w:val="single" w:sz="4" w:space="0" w:color="auto"/>
              <w:bottom w:val="single" w:sz="4" w:space="0" w:color="auto"/>
              <w:right w:val="nil"/>
            </w:tcBorders>
            <w:tcMar>
              <w:top w:w="0" w:type="dxa"/>
              <w:left w:w="108" w:type="dxa"/>
              <w:bottom w:w="0" w:type="dxa"/>
              <w:right w:w="108" w:type="dxa"/>
            </w:tcMar>
            <w:vAlign w:val="center"/>
          </w:tcPr>
          <w:p w:rsidR="00343243" w:rsidRPr="00A445F5" w:rsidRDefault="00343243" w:rsidP="00343243">
            <w:pPr>
              <w:spacing w:after="0" w:line="240" w:lineRule="auto"/>
              <w:jc w:val="right"/>
              <w:rPr>
                <w:rFonts w:ascii="Arial" w:hAnsi="Arial" w:cs="Arial"/>
                <w:sz w:val="18"/>
                <w:szCs w:val="18"/>
              </w:rPr>
            </w:pPr>
            <w:r w:rsidRPr="00A445F5">
              <w:rPr>
                <w:rFonts w:ascii="Arial" w:hAnsi="Arial" w:cs="Arial"/>
                <w:sz w:val="18"/>
                <w:szCs w:val="18"/>
              </w:rPr>
              <w:t>15.829.051.126,41</w:t>
            </w:r>
          </w:p>
        </w:tc>
      </w:tr>
      <w:tr w:rsidR="00343243" w:rsidRPr="00DF1298" w:rsidTr="00EA1420">
        <w:trPr>
          <w:cantSplit/>
          <w:trHeight w:val="397"/>
        </w:trPr>
        <w:tc>
          <w:tcPr>
            <w:tcW w:w="54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II.</w:t>
            </w:r>
          </w:p>
        </w:tc>
        <w:tc>
          <w:tcPr>
            <w:tcW w:w="5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A445F5" w:rsidRDefault="00343243" w:rsidP="00343243">
            <w:pPr>
              <w:spacing w:after="0" w:line="240" w:lineRule="auto"/>
              <w:jc w:val="both"/>
              <w:rPr>
                <w:rFonts w:ascii="Arial" w:hAnsi="Arial" w:cs="Arial"/>
                <w:sz w:val="18"/>
                <w:szCs w:val="18"/>
              </w:rPr>
            </w:pPr>
            <w:r w:rsidRPr="00A445F5">
              <w:rPr>
                <w:rFonts w:ascii="Arial" w:hAnsi="Arial" w:cs="Arial"/>
                <w:sz w:val="18"/>
                <w:szCs w:val="18"/>
              </w:rPr>
              <w:t>Dépenses</w:t>
            </w:r>
          </w:p>
        </w:tc>
        <w:tc>
          <w:tcPr>
            <w:tcW w:w="1809"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343243" w:rsidRPr="00A445F5" w:rsidRDefault="00343243" w:rsidP="00343243">
            <w:pPr>
              <w:spacing w:after="0" w:line="240" w:lineRule="auto"/>
              <w:jc w:val="right"/>
              <w:rPr>
                <w:rFonts w:ascii="Arial" w:hAnsi="Arial" w:cs="Arial"/>
                <w:sz w:val="18"/>
                <w:szCs w:val="18"/>
              </w:rPr>
            </w:pPr>
            <w:r w:rsidRPr="00A445F5">
              <w:rPr>
                <w:rFonts w:ascii="Arial" w:hAnsi="Arial" w:cs="Arial"/>
                <w:sz w:val="18"/>
                <w:szCs w:val="18"/>
              </w:rPr>
              <w:t>16.254.102.274,19</w:t>
            </w:r>
          </w:p>
        </w:tc>
      </w:tr>
      <w:tr w:rsidR="00343243" w:rsidRPr="00DF1298" w:rsidTr="00EA1420">
        <w:trPr>
          <w:cantSplit/>
          <w:trHeight w:val="397"/>
        </w:trPr>
        <w:tc>
          <w:tcPr>
            <w:tcW w:w="54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III.</w:t>
            </w:r>
          </w:p>
        </w:tc>
        <w:tc>
          <w:tcPr>
            <w:tcW w:w="5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A445F5" w:rsidRDefault="00343243" w:rsidP="00343243">
            <w:pPr>
              <w:spacing w:after="0" w:line="240" w:lineRule="auto"/>
              <w:jc w:val="both"/>
              <w:rPr>
                <w:rFonts w:ascii="Arial" w:hAnsi="Arial" w:cs="Arial"/>
                <w:sz w:val="18"/>
                <w:szCs w:val="18"/>
              </w:rPr>
            </w:pPr>
            <w:r w:rsidRPr="00A445F5">
              <w:rPr>
                <w:rFonts w:ascii="Arial" w:hAnsi="Arial" w:cs="Arial"/>
                <w:sz w:val="18"/>
                <w:szCs w:val="18"/>
              </w:rPr>
              <w:t>Excédent de dépenses</w:t>
            </w:r>
          </w:p>
        </w:tc>
        <w:tc>
          <w:tcPr>
            <w:tcW w:w="1809"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343243" w:rsidRPr="00A445F5" w:rsidRDefault="00343243" w:rsidP="00343243">
            <w:pPr>
              <w:spacing w:after="0" w:line="240" w:lineRule="auto"/>
              <w:jc w:val="right"/>
              <w:rPr>
                <w:rFonts w:ascii="Arial" w:hAnsi="Arial" w:cs="Arial"/>
                <w:sz w:val="18"/>
                <w:szCs w:val="18"/>
              </w:rPr>
            </w:pPr>
            <w:r w:rsidRPr="00A445F5">
              <w:rPr>
                <w:rFonts w:ascii="Arial" w:hAnsi="Arial" w:cs="Arial"/>
                <w:sz w:val="18"/>
                <w:szCs w:val="18"/>
              </w:rPr>
              <w:t>425.051.147,78</w:t>
            </w:r>
          </w:p>
        </w:tc>
      </w:tr>
      <w:tr w:rsidR="00343243" w:rsidRPr="00DF1298" w:rsidTr="00EA1420">
        <w:trPr>
          <w:cantSplit/>
          <w:trHeight w:val="397"/>
        </w:trPr>
        <w:tc>
          <w:tcPr>
            <w:tcW w:w="548" w:type="dxa"/>
            <w:tcBorders>
              <w:top w:val="single" w:sz="4" w:space="0" w:color="auto"/>
              <w:left w:val="nil"/>
              <w:bottom w:val="nil"/>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IV.</w:t>
            </w:r>
          </w:p>
        </w:tc>
        <w:tc>
          <w:tcPr>
            <w:tcW w:w="5627"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343243" w:rsidRPr="00A445F5" w:rsidRDefault="00343243" w:rsidP="00343243">
            <w:pPr>
              <w:spacing w:after="0" w:line="240" w:lineRule="auto"/>
              <w:jc w:val="both"/>
              <w:rPr>
                <w:rFonts w:ascii="Arial" w:hAnsi="Arial" w:cs="Arial"/>
                <w:sz w:val="18"/>
                <w:szCs w:val="18"/>
              </w:rPr>
            </w:pPr>
            <w:r w:rsidRPr="00A445F5">
              <w:rPr>
                <w:rFonts w:ascii="Arial" w:hAnsi="Arial" w:cs="Arial"/>
                <w:sz w:val="18"/>
                <w:szCs w:val="18"/>
              </w:rPr>
              <w:t>Report du solde des recettes et dépenses courantes et en capital</w:t>
            </w:r>
          </w:p>
        </w:tc>
        <w:tc>
          <w:tcPr>
            <w:tcW w:w="1809" w:type="dxa"/>
            <w:tcBorders>
              <w:top w:val="single" w:sz="4" w:space="0" w:color="auto"/>
              <w:left w:val="single" w:sz="4" w:space="0" w:color="auto"/>
              <w:bottom w:val="nil"/>
              <w:right w:val="nil"/>
            </w:tcBorders>
            <w:tcMar>
              <w:top w:w="0" w:type="dxa"/>
              <w:left w:w="108" w:type="dxa"/>
              <w:bottom w:w="0" w:type="dxa"/>
              <w:right w:w="108" w:type="dxa"/>
            </w:tcMar>
            <w:vAlign w:val="center"/>
          </w:tcPr>
          <w:p w:rsidR="00343243" w:rsidRPr="00A445F5" w:rsidRDefault="00343243" w:rsidP="00343243">
            <w:pPr>
              <w:spacing w:after="0" w:line="240" w:lineRule="auto"/>
              <w:jc w:val="right"/>
              <w:rPr>
                <w:rFonts w:ascii="Arial" w:hAnsi="Arial" w:cs="Arial"/>
                <w:sz w:val="18"/>
                <w:szCs w:val="18"/>
              </w:rPr>
            </w:pPr>
            <w:r w:rsidRPr="00A445F5">
              <w:rPr>
                <w:rFonts w:ascii="Arial" w:hAnsi="Arial" w:cs="Arial"/>
                <w:sz w:val="18"/>
                <w:szCs w:val="18"/>
              </w:rPr>
              <w:t>-1.498.121.577,27</w:t>
            </w:r>
          </w:p>
        </w:tc>
      </w:tr>
    </w:tbl>
    <w:p w:rsidR="00343243" w:rsidRPr="00DF1298" w:rsidRDefault="00343243" w:rsidP="00343243">
      <w:pPr>
        <w:pStyle w:val="1TEXTE"/>
        <w:spacing w:after="0" w:line="240" w:lineRule="auto"/>
        <w:ind w:left="0" w:firstLine="0"/>
        <w:rPr>
          <w:rFonts w:ascii="Arial" w:hAnsi="Arial" w:cs="Arial"/>
          <w:lang w:val="fr-LU"/>
        </w:rPr>
      </w:pPr>
    </w:p>
    <w:tbl>
      <w:tblPr>
        <w:tblW w:w="7938" w:type="dxa"/>
        <w:tblInd w:w="1304" w:type="dxa"/>
        <w:tblLayout w:type="fixed"/>
        <w:tblCellMar>
          <w:left w:w="0" w:type="dxa"/>
          <w:right w:w="0" w:type="dxa"/>
        </w:tblCellMar>
        <w:tblLook w:val="0000" w:firstRow="0" w:lastRow="0" w:firstColumn="0" w:lastColumn="0" w:noHBand="0" w:noVBand="0"/>
      </w:tblPr>
      <w:tblGrid>
        <w:gridCol w:w="567"/>
        <w:gridCol w:w="5608"/>
        <w:gridCol w:w="1763"/>
      </w:tblGrid>
      <w:tr w:rsidR="00343243" w:rsidRPr="00DF1298" w:rsidTr="00EA1420">
        <w:trPr>
          <w:cantSplit/>
          <w:trHeight w:val="397"/>
        </w:trPr>
        <w:tc>
          <w:tcPr>
            <w:tcW w:w="7938" w:type="dxa"/>
            <w:gridSpan w:val="3"/>
            <w:tcBorders>
              <w:top w:val="nil"/>
              <w:left w:val="nil"/>
              <w:right w:val="nil"/>
            </w:tcBorders>
            <w:tcMar>
              <w:top w:w="0" w:type="dxa"/>
              <w:left w:w="108" w:type="dxa"/>
              <w:bottom w:w="0" w:type="dxa"/>
              <w:right w:w="108" w:type="dxa"/>
            </w:tcMar>
            <w:vAlign w:val="center"/>
          </w:tcPr>
          <w:p w:rsidR="00343243" w:rsidRPr="00DF1298" w:rsidRDefault="00343243" w:rsidP="00343243">
            <w:pPr>
              <w:spacing w:after="0" w:line="240" w:lineRule="auto"/>
              <w:jc w:val="center"/>
              <w:rPr>
                <w:rFonts w:ascii="Arial" w:hAnsi="Arial" w:cs="Arial"/>
              </w:rPr>
            </w:pPr>
            <w:r w:rsidRPr="00DF1298">
              <w:rPr>
                <w:rFonts w:ascii="Arial" w:hAnsi="Arial" w:cs="Arial"/>
                <w:b/>
                <w:bCs/>
              </w:rPr>
              <w:t>B. Recettes et dépenses pour ordre</w:t>
            </w:r>
          </w:p>
        </w:tc>
      </w:tr>
      <w:tr w:rsidR="00343243" w:rsidRPr="00DF1298" w:rsidTr="00EA1420">
        <w:trPr>
          <w:cantSplit/>
          <w:trHeight w:val="624"/>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rPr>
                <w:rFonts w:ascii="Arial" w:hAnsi="Arial" w:cs="Arial"/>
              </w:rPr>
            </w:pP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Report du solde des recettes et dépenses pour ordre de l’année précédente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tcPr>
          <w:p w:rsidR="00343243" w:rsidRPr="00461AF7" w:rsidRDefault="00343243" w:rsidP="00343243">
            <w:pPr>
              <w:spacing w:after="0" w:line="240" w:lineRule="auto"/>
              <w:jc w:val="right"/>
              <w:rPr>
                <w:rFonts w:ascii="Arial" w:hAnsi="Arial" w:cs="Arial"/>
                <w:sz w:val="18"/>
                <w:szCs w:val="18"/>
              </w:rPr>
            </w:pPr>
            <w:r w:rsidRPr="00461AF7">
              <w:rPr>
                <w:rFonts w:ascii="Arial" w:hAnsi="Arial" w:cs="Arial"/>
                <w:sz w:val="18"/>
                <w:szCs w:val="18"/>
              </w:rPr>
              <w:t>16.923.011,49</w:t>
            </w:r>
          </w:p>
        </w:tc>
      </w:tr>
      <w:tr w:rsidR="00343243" w:rsidRPr="00DF1298" w:rsidTr="00EA1420">
        <w:trPr>
          <w:cantSplit/>
          <w:trHeight w:val="397"/>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w:t>
            </w: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Recettes pour ordre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tcPr>
          <w:p w:rsidR="00343243" w:rsidRPr="00461AF7" w:rsidRDefault="00343243" w:rsidP="00343243">
            <w:pPr>
              <w:spacing w:after="0" w:line="240" w:lineRule="auto"/>
              <w:jc w:val="right"/>
              <w:rPr>
                <w:rFonts w:ascii="Arial" w:hAnsi="Arial" w:cs="Arial"/>
                <w:sz w:val="18"/>
                <w:szCs w:val="18"/>
              </w:rPr>
            </w:pPr>
            <w:r w:rsidRPr="00461AF7">
              <w:rPr>
                <w:rFonts w:ascii="Arial" w:hAnsi="Arial" w:cs="Arial"/>
                <w:sz w:val="18"/>
                <w:szCs w:val="18"/>
              </w:rPr>
              <w:t>6.572.571.818,48</w:t>
            </w:r>
          </w:p>
        </w:tc>
      </w:tr>
      <w:tr w:rsidR="00343243" w:rsidRPr="00DF1298" w:rsidTr="00EA1420">
        <w:trPr>
          <w:cantSplit/>
          <w:trHeight w:val="397"/>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Dépenses pour ordre</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343243" w:rsidRPr="00461AF7" w:rsidRDefault="00343243" w:rsidP="00343243">
            <w:pPr>
              <w:spacing w:after="0" w:line="240" w:lineRule="auto"/>
              <w:jc w:val="right"/>
              <w:rPr>
                <w:rFonts w:ascii="Arial" w:hAnsi="Arial" w:cs="Arial"/>
                <w:sz w:val="18"/>
                <w:szCs w:val="18"/>
              </w:rPr>
            </w:pPr>
            <w:r w:rsidRPr="00461AF7">
              <w:rPr>
                <w:rFonts w:ascii="Arial" w:hAnsi="Arial" w:cs="Arial"/>
                <w:sz w:val="18"/>
                <w:szCs w:val="18"/>
              </w:rPr>
              <w:t>6.577.882.441,83</w:t>
            </w:r>
          </w:p>
        </w:tc>
      </w:tr>
      <w:tr w:rsidR="00343243" w:rsidRPr="00DF1298" w:rsidTr="00EA1420">
        <w:trPr>
          <w:cantSplit/>
          <w:trHeight w:val="397"/>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Excédent de dépenses pour ordre</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343243" w:rsidRPr="00461AF7" w:rsidRDefault="00343243" w:rsidP="00343243">
            <w:pPr>
              <w:spacing w:after="0" w:line="240" w:lineRule="auto"/>
              <w:jc w:val="right"/>
              <w:rPr>
                <w:rFonts w:ascii="Arial" w:hAnsi="Arial" w:cs="Arial"/>
                <w:sz w:val="18"/>
                <w:szCs w:val="18"/>
              </w:rPr>
            </w:pPr>
            <w:r w:rsidRPr="00461AF7">
              <w:rPr>
                <w:rFonts w:ascii="Arial" w:hAnsi="Arial" w:cs="Arial"/>
                <w:sz w:val="18"/>
                <w:szCs w:val="18"/>
              </w:rPr>
              <w:t>5.310.623,35</w:t>
            </w:r>
          </w:p>
        </w:tc>
      </w:tr>
      <w:tr w:rsidR="00343243" w:rsidRPr="00DF1298" w:rsidTr="00EA1420">
        <w:trPr>
          <w:cantSplit/>
          <w:trHeight w:val="397"/>
        </w:trPr>
        <w:tc>
          <w:tcPr>
            <w:tcW w:w="567" w:type="dxa"/>
            <w:tcBorders>
              <w:top w:val="single" w:sz="4" w:space="0" w:color="auto"/>
              <w:left w:val="nil"/>
              <w:bottom w:val="nil"/>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IV.</w:t>
            </w:r>
          </w:p>
        </w:tc>
        <w:tc>
          <w:tcPr>
            <w:tcW w:w="560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Report du solde des recettes et dépenses pour ordre</w:t>
            </w:r>
          </w:p>
        </w:tc>
        <w:tc>
          <w:tcPr>
            <w:tcW w:w="1763" w:type="dxa"/>
            <w:tcBorders>
              <w:top w:val="single" w:sz="4" w:space="0" w:color="auto"/>
              <w:left w:val="single" w:sz="4" w:space="0" w:color="auto"/>
              <w:bottom w:val="nil"/>
              <w:right w:val="nil"/>
            </w:tcBorders>
            <w:tcMar>
              <w:top w:w="0" w:type="dxa"/>
              <w:left w:w="108" w:type="dxa"/>
              <w:bottom w:w="0" w:type="dxa"/>
              <w:right w:w="108" w:type="dxa"/>
            </w:tcMar>
            <w:vAlign w:val="center"/>
          </w:tcPr>
          <w:p w:rsidR="00343243" w:rsidRPr="00461AF7" w:rsidRDefault="00343243" w:rsidP="00343243">
            <w:pPr>
              <w:spacing w:after="0" w:line="240" w:lineRule="auto"/>
              <w:jc w:val="right"/>
              <w:rPr>
                <w:rFonts w:ascii="Arial" w:hAnsi="Arial" w:cs="Arial"/>
                <w:sz w:val="18"/>
                <w:szCs w:val="18"/>
              </w:rPr>
            </w:pPr>
            <w:r w:rsidRPr="00461AF7">
              <w:rPr>
                <w:rFonts w:ascii="Arial" w:hAnsi="Arial" w:cs="Arial"/>
                <w:sz w:val="18"/>
                <w:szCs w:val="18"/>
              </w:rPr>
              <w:t>11.612.388,14</w:t>
            </w:r>
          </w:p>
        </w:tc>
      </w:tr>
    </w:tbl>
    <w:p w:rsidR="00343243" w:rsidRPr="00DF1298" w:rsidRDefault="00343243" w:rsidP="00343243">
      <w:pPr>
        <w:pStyle w:val="1texte0"/>
        <w:spacing w:after="0" w:line="240" w:lineRule="auto"/>
        <w:ind w:left="0" w:firstLine="0"/>
        <w:rPr>
          <w:rFonts w:ascii="Arial" w:hAnsi="Arial" w:cs="Arial"/>
          <w:lang w:val="fr-LU"/>
        </w:rPr>
      </w:pPr>
    </w:p>
    <w:tbl>
      <w:tblPr>
        <w:tblW w:w="7938" w:type="dxa"/>
        <w:tblInd w:w="1304" w:type="dxa"/>
        <w:tblLayout w:type="fixed"/>
        <w:tblCellMar>
          <w:left w:w="0" w:type="dxa"/>
          <w:right w:w="0" w:type="dxa"/>
        </w:tblCellMar>
        <w:tblLook w:val="0000" w:firstRow="0" w:lastRow="0" w:firstColumn="0" w:lastColumn="0" w:noHBand="0" w:noVBand="0"/>
      </w:tblPr>
      <w:tblGrid>
        <w:gridCol w:w="567"/>
        <w:gridCol w:w="5608"/>
        <w:gridCol w:w="1763"/>
      </w:tblGrid>
      <w:tr w:rsidR="00343243" w:rsidRPr="00DF1298" w:rsidTr="00EA1420">
        <w:trPr>
          <w:cantSplit/>
          <w:trHeight w:val="397"/>
        </w:trPr>
        <w:tc>
          <w:tcPr>
            <w:tcW w:w="7938" w:type="dxa"/>
            <w:gridSpan w:val="3"/>
            <w:tcBorders>
              <w:top w:val="nil"/>
              <w:left w:val="nil"/>
              <w:right w:val="nil"/>
            </w:tcBorders>
            <w:tcMar>
              <w:top w:w="0" w:type="dxa"/>
              <w:left w:w="108" w:type="dxa"/>
              <w:bottom w:w="0" w:type="dxa"/>
              <w:right w:w="108" w:type="dxa"/>
            </w:tcMar>
            <w:vAlign w:val="center"/>
          </w:tcPr>
          <w:p w:rsidR="00343243" w:rsidRPr="00DF1298" w:rsidRDefault="00343243" w:rsidP="00343243">
            <w:pPr>
              <w:spacing w:after="0" w:line="240" w:lineRule="auto"/>
              <w:jc w:val="center"/>
              <w:rPr>
                <w:rFonts w:ascii="Arial" w:hAnsi="Arial" w:cs="Arial"/>
              </w:rPr>
            </w:pPr>
            <w:r w:rsidRPr="00DF1298">
              <w:rPr>
                <w:rFonts w:ascii="Arial" w:hAnsi="Arial" w:cs="Arial"/>
                <w:b/>
                <w:bCs/>
              </w:rPr>
              <w:t>C. Recettes et dépenses des fonds déposés à la Trésorerie de l’Etat</w:t>
            </w:r>
          </w:p>
        </w:tc>
      </w:tr>
      <w:tr w:rsidR="00343243" w:rsidRPr="00DF1298" w:rsidTr="00EA1420">
        <w:trPr>
          <w:cantSplit/>
          <w:trHeight w:val="397"/>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both"/>
              <w:rPr>
                <w:rFonts w:ascii="Arial" w:hAnsi="Arial" w:cs="Arial"/>
              </w:rPr>
            </w:pP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Report du solde des recettes et dépenses de l’année précédente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bottom"/>
          </w:tcPr>
          <w:p w:rsidR="00343243" w:rsidRPr="00461AF7" w:rsidRDefault="00343243" w:rsidP="00343243">
            <w:pPr>
              <w:tabs>
                <w:tab w:val="decimal" w:pos="1405"/>
              </w:tabs>
              <w:spacing w:after="0" w:line="240" w:lineRule="auto"/>
              <w:jc w:val="right"/>
              <w:rPr>
                <w:rFonts w:ascii="Arial" w:hAnsi="Arial" w:cs="Arial"/>
                <w:sz w:val="18"/>
                <w:szCs w:val="18"/>
              </w:rPr>
            </w:pPr>
            <w:r w:rsidRPr="00461AF7">
              <w:rPr>
                <w:rFonts w:ascii="Arial" w:hAnsi="Arial" w:cs="Arial"/>
                <w:sz w:val="18"/>
                <w:szCs w:val="18"/>
              </w:rPr>
              <w:t>2.938.050.535,72</w:t>
            </w:r>
          </w:p>
        </w:tc>
      </w:tr>
      <w:tr w:rsidR="00343243" w:rsidRPr="00DF1298" w:rsidTr="00EA1420">
        <w:trPr>
          <w:cantSplit/>
          <w:trHeight w:val="397"/>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w:t>
            </w: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Recettes</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tcPr>
          <w:p w:rsidR="00343243" w:rsidRPr="00461AF7" w:rsidRDefault="00343243" w:rsidP="00343243">
            <w:pPr>
              <w:spacing w:after="0" w:line="240" w:lineRule="auto"/>
              <w:jc w:val="right"/>
              <w:rPr>
                <w:rFonts w:ascii="Arial" w:hAnsi="Arial" w:cs="Arial"/>
                <w:sz w:val="18"/>
                <w:szCs w:val="18"/>
              </w:rPr>
            </w:pPr>
            <w:r w:rsidRPr="00461AF7">
              <w:rPr>
                <w:rFonts w:ascii="Arial" w:hAnsi="Arial" w:cs="Arial"/>
                <w:sz w:val="18"/>
                <w:szCs w:val="18"/>
              </w:rPr>
              <w:t>6.783.083.872,85</w:t>
            </w:r>
          </w:p>
        </w:tc>
      </w:tr>
      <w:tr w:rsidR="00343243" w:rsidRPr="00DF1298" w:rsidTr="00EA1420">
        <w:trPr>
          <w:cantSplit/>
          <w:trHeight w:val="397"/>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 xml:space="preserve">Dépenses </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343243" w:rsidRPr="00461AF7" w:rsidRDefault="00343243" w:rsidP="00343243">
            <w:pPr>
              <w:spacing w:after="0" w:line="240" w:lineRule="auto"/>
              <w:jc w:val="right"/>
              <w:rPr>
                <w:rFonts w:ascii="Arial" w:hAnsi="Arial" w:cs="Arial"/>
                <w:sz w:val="18"/>
                <w:szCs w:val="18"/>
              </w:rPr>
            </w:pPr>
            <w:r w:rsidRPr="00461AF7">
              <w:rPr>
                <w:rFonts w:ascii="Arial" w:hAnsi="Arial" w:cs="Arial"/>
                <w:sz w:val="18"/>
                <w:szCs w:val="18"/>
              </w:rPr>
              <w:t>6.482.984.050,20</w:t>
            </w:r>
          </w:p>
        </w:tc>
      </w:tr>
      <w:tr w:rsidR="00343243" w:rsidRPr="00DF1298" w:rsidTr="00EA1420">
        <w:trPr>
          <w:cantSplit/>
          <w:trHeight w:val="397"/>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Excédent de recettes</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343243" w:rsidRPr="00461AF7" w:rsidRDefault="00343243" w:rsidP="00343243">
            <w:pPr>
              <w:spacing w:after="0" w:line="240" w:lineRule="auto"/>
              <w:jc w:val="right"/>
              <w:rPr>
                <w:rFonts w:ascii="Arial" w:hAnsi="Arial" w:cs="Arial"/>
                <w:sz w:val="18"/>
                <w:szCs w:val="18"/>
              </w:rPr>
            </w:pPr>
            <w:r w:rsidRPr="00461AF7">
              <w:rPr>
                <w:rFonts w:ascii="Arial" w:hAnsi="Arial" w:cs="Arial"/>
                <w:sz w:val="18"/>
                <w:szCs w:val="18"/>
              </w:rPr>
              <w:t>300.099.822,65</w:t>
            </w:r>
          </w:p>
        </w:tc>
      </w:tr>
      <w:tr w:rsidR="00343243" w:rsidRPr="00DF1298" w:rsidTr="00EA1420">
        <w:trPr>
          <w:cantSplit/>
          <w:trHeight w:val="397"/>
        </w:trPr>
        <w:tc>
          <w:tcPr>
            <w:tcW w:w="567" w:type="dxa"/>
            <w:tcBorders>
              <w:top w:val="single" w:sz="4" w:space="0" w:color="auto"/>
              <w:left w:val="nil"/>
              <w:bottom w:val="nil"/>
              <w:right w:val="single" w:sz="4" w:space="0" w:color="auto"/>
            </w:tcBorders>
            <w:tcMar>
              <w:top w:w="0" w:type="dxa"/>
              <w:left w:w="108" w:type="dxa"/>
              <w:bottom w:w="0" w:type="dxa"/>
              <w:right w:w="108" w:type="dxa"/>
            </w:tcMar>
            <w:vAlign w:val="center"/>
          </w:tcPr>
          <w:p w:rsidR="00343243" w:rsidRPr="00DF1298" w:rsidRDefault="00343243" w:rsidP="00343243">
            <w:pPr>
              <w:spacing w:after="0" w:line="240" w:lineRule="auto"/>
              <w:jc w:val="right"/>
              <w:rPr>
                <w:rFonts w:ascii="Arial" w:hAnsi="Arial" w:cs="Arial"/>
              </w:rPr>
            </w:pPr>
            <w:r w:rsidRPr="00DF1298">
              <w:rPr>
                <w:rFonts w:ascii="Arial" w:hAnsi="Arial" w:cs="Arial"/>
              </w:rPr>
              <w:t>IV.</w:t>
            </w:r>
          </w:p>
        </w:tc>
        <w:tc>
          <w:tcPr>
            <w:tcW w:w="560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343243" w:rsidRPr="00461AF7" w:rsidRDefault="00343243" w:rsidP="00343243">
            <w:pPr>
              <w:spacing w:after="0" w:line="240" w:lineRule="auto"/>
              <w:jc w:val="both"/>
              <w:rPr>
                <w:rFonts w:ascii="Arial" w:hAnsi="Arial" w:cs="Arial"/>
                <w:sz w:val="18"/>
                <w:szCs w:val="18"/>
              </w:rPr>
            </w:pPr>
            <w:r w:rsidRPr="00461AF7">
              <w:rPr>
                <w:rFonts w:ascii="Arial" w:hAnsi="Arial" w:cs="Arial"/>
                <w:sz w:val="18"/>
                <w:szCs w:val="18"/>
              </w:rPr>
              <w:t>Report du solde des recettes et dépenses</w:t>
            </w:r>
          </w:p>
        </w:tc>
        <w:tc>
          <w:tcPr>
            <w:tcW w:w="1763" w:type="dxa"/>
            <w:tcBorders>
              <w:top w:val="single" w:sz="4" w:space="0" w:color="auto"/>
              <w:left w:val="single" w:sz="4" w:space="0" w:color="auto"/>
              <w:bottom w:val="nil"/>
              <w:right w:val="nil"/>
            </w:tcBorders>
            <w:tcMar>
              <w:top w:w="0" w:type="dxa"/>
              <w:left w:w="108" w:type="dxa"/>
              <w:bottom w:w="0" w:type="dxa"/>
              <w:right w:w="108" w:type="dxa"/>
            </w:tcMar>
            <w:vAlign w:val="center"/>
          </w:tcPr>
          <w:p w:rsidR="00343243" w:rsidRPr="00461AF7" w:rsidRDefault="00343243" w:rsidP="00343243">
            <w:pPr>
              <w:spacing w:after="0" w:line="240" w:lineRule="auto"/>
              <w:jc w:val="right"/>
              <w:rPr>
                <w:rFonts w:ascii="Arial" w:hAnsi="Arial" w:cs="Arial"/>
                <w:sz w:val="18"/>
                <w:szCs w:val="18"/>
              </w:rPr>
            </w:pPr>
            <w:r w:rsidRPr="00461AF7">
              <w:rPr>
                <w:rFonts w:ascii="Arial" w:hAnsi="Arial" w:cs="Arial"/>
                <w:sz w:val="18"/>
                <w:szCs w:val="18"/>
              </w:rPr>
              <w:t>3.238.150.358,37</w:t>
            </w:r>
          </w:p>
        </w:tc>
      </w:tr>
    </w:tbl>
    <w:p w:rsidR="00343243" w:rsidRPr="00DF1298" w:rsidRDefault="00343243" w:rsidP="00343243">
      <w:pPr>
        <w:pStyle w:val="1TEXTE"/>
        <w:spacing w:after="0" w:line="240" w:lineRule="auto"/>
        <w:ind w:left="0" w:firstLine="0"/>
        <w:rPr>
          <w:rFonts w:ascii="Arial" w:hAnsi="Arial" w:cs="Arial"/>
          <w:sz w:val="16"/>
          <w:szCs w:val="16"/>
          <w:lang w:val="fr-LU"/>
        </w:rPr>
      </w:pPr>
      <w:r w:rsidRPr="00DF1298">
        <w:rPr>
          <w:rFonts w:ascii="Arial" w:hAnsi="Arial" w:cs="Arial"/>
          <w:sz w:val="16"/>
          <w:szCs w:val="16"/>
          <w:lang w:val="fr-LU"/>
        </w:rPr>
        <w:t xml:space="preserve">Source : Rapport général de la Cour des comptes (doc. </w:t>
      </w:r>
      <w:proofErr w:type="spellStart"/>
      <w:r w:rsidRPr="00DF1298">
        <w:rPr>
          <w:rFonts w:ascii="Arial" w:hAnsi="Arial" w:cs="Arial"/>
          <w:sz w:val="16"/>
          <w:szCs w:val="16"/>
          <w:lang w:val="fr-LU"/>
        </w:rPr>
        <w:t>parl</w:t>
      </w:r>
      <w:proofErr w:type="spellEnd"/>
      <w:r w:rsidRPr="00DF1298">
        <w:rPr>
          <w:rFonts w:ascii="Arial" w:hAnsi="Arial" w:cs="Arial"/>
          <w:sz w:val="16"/>
          <w:szCs w:val="16"/>
          <w:lang w:val="fr-LU"/>
        </w:rPr>
        <w:t>. 7447-2)</w:t>
      </w:r>
    </w:p>
    <w:p w:rsidR="00343243" w:rsidRPr="00DF1298" w:rsidRDefault="00343243" w:rsidP="00343243">
      <w:pPr>
        <w:pStyle w:val="1TEXTE"/>
        <w:spacing w:after="0" w:line="240" w:lineRule="auto"/>
        <w:ind w:left="0" w:firstLine="0"/>
        <w:rPr>
          <w:rFonts w:ascii="Arial" w:hAnsi="Arial" w:cs="Arial"/>
          <w:sz w:val="22"/>
          <w:szCs w:val="22"/>
          <w:lang w:val="fr-LU"/>
        </w:rPr>
      </w:pPr>
    </w:p>
    <w:p w:rsidR="00343243" w:rsidRPr="00DF1298" w:rsidRDefault="00343243" w:rsidP="00343243">
      <w:pPr>
        <w:pStyle w:val="1TEXTE"/>
        <w:spacing w:after="0" w:line="240" w:lineRule="auto"/>
        <w:ind w:left="0" w:firstLine="0"/>
        <w:rPr>
          <w:rFonts w:ascii="Arial" w:hAnsi="Arial" w:cs="Arial"/>
          <w:sz w:val="22"/>
          <w:szCs w:val="22"/>
          <w:lang w:val="fr-LU"/>
        </w:rPr>
      </w:pPr>
      <w:r w:rsidRPr="00DF1298">
        <w:rPr>
          <w:rFonts w:ascii="Arial" w:hAnsi="Arial" w:cs="Arial"/>
          <w:sz w:val="22"/>
          <w:szCs w:val="22"/>
          <w:lang w:val="fr-LU"/>
        </w:rPr>
        <w:t xml:space="preserve">L’exercice 2018 dégage un résultat négatif de -425.051.147,78 euros. </w:t>
      </w:r>
    </w:p>
    <w:p w:rsidR="00343243" w:rsidRPr="00DF1298" w:rsidRDefault="00343243" w:rsidP="00343243">
      <w:pPr>
        <w:pStyle w:val="1TEXTE"/>
        <w:spacing w:after="0" w:line="240" w:lineRule="auto"/>
        <w:ind w:left="0" w:firstLine="0"/>
        <w:rPr>
          <w:rFonts w:ascii="Arial" w:hAnsi="Arial" w:cs="Arial"/>
          <w:sz w:val="22"/>
          <w:szCs w:val="22"/>
          <w:lang w:val="fr-LU"/>
        </w:rPr>
      </w:pPr>
    </w:p>
    <w:p w:rsidR="00343243" w:rsidRPr="00DF1298" w:rsidRDefault="00343243" w:rsidP="00343243">
      <w:pPr>
        <w:pStyle w:val="Default"/>
        <w:jc w:val="center"/>
        <w:rPr>
          <w:rFonts w:ascii="Arial" w:hAnsi="Arial" w:cs="Arial"/>
          <w:color w:val="auto"/>
          <w:sz w:val="22"/>
          <w:szCs w:val="22"/>
        </w:rPr>
      </w:pPr>
      <w:r w:rsidRPr="00DF1298">
        <w:rPr>
          <w:rFonts w:ascii="Arial" w:hAnsi="Arial" w:cs="Arial"/>
          <w:color w:val="auto"/>
          <w:sz w:val="22"/>
          <w:szCs w:val="22"/>
        </w:rPr>
        <w:t>2. Situation globale de l’exécution du budget 2018</w:t>
      </w:r>
    </w:p>
    <w:p w:rsidR="00343243" w:rsidRPr="00DF1298" w:rsidRDefault="00343243" w:rsidP="00343243">
      <w:pPr>
        <w:pStyle w:val="Default"/>
        <w:jc w:val="both"/>
        <w:rPr>
          <w:rFonts w:ascii="Arial" w:hAnsi="Arial" w:cs="Arial"/>
          <w:color w:val="auto"/>
          <w:sz w:val="22"/>
          <w:szCs w:val="22"/>
        </w:rPr>
      </w:pPr>
    </w:p>
    <w:p w:rsidR="00343243" w:rsidRPr="00DF1298" w:rsidRDefault="00343243" w:rsidP="00343243">
      <w:pPr>
        <w:pStyle w:val="Default"/>
        <w:rPr>
          <w:rFonts w:ascii="Arial" w:hAnsi="Arial" w:cs="Arial"/>
          <w:color w:val="auto"/>
          <w:sz w:val="22"/>
          <w:szCs w:val="22"/>
        </w:rPr>
      </w:pPr>
      <w:r w:rsidRPr="00DF1298">
        <w:rPr>
          <w:rFonts w:ascii="Arial" w:hAnsi="Arial" w:cs="Arial"/>
          <w:color w:val="auto"/>
          <w:sz w:val="22"/>
          <w:szCs w:val="22"/>
        </w:rPr>
        <w:t xml:space="preserve">Le budget voté de l’exercice 2018, tel qu’il fut arrêté par la loi du 15 décembre 2017, a été modifié par </w:t>
      </w:r>
      <w:r>
        <w:rPr>
          <w:rFonts w:ascii="Arial" w:hAnsi="Arial" w:cs="Arial"/>
          <w:color w:val="auto"/>
          <w:sz w:val="22"/>
          <w:szCs w:val="22"/>
        </w:rPr>
        <w:t xml:space="preserve">plusieurs </w:t>
      </w:r>
      <w:r w:rsidRPr="00DF1298">
        <w:rPr>
          <w:rFonts w:ascii="Arial" w:hAnsi="Arial" w:cs="Arial"/>
          <w:color w:val="auto"/>
          <w:sz w:val="22"/>
          <w:szCs w:val="22"/>
        </w:rPr>
        <w:t>lois au courant de l’année 2018</w:t>
      </w:r>
      <w:r>
        <w:rPr>
          <w:rFonts w:ascii="Arial" w:hAnsi="Arial" w:cs="Arial"/>
          <w:color w:val="auto"/>
          <w:sz w:val="22"/>
          <w:szCs w:val="22"/>
        </w:rPr>
        <w:t>.</w:t>
      </w:r>
    </w:p>
    <w:p w:rsidR="00343243" w:rsidRPr="00DF1298" w:rsidRDefault="00343243" w:rsidP="00343243">
      <w:pPr>
        <w:pStyle w:val="Default"/>
        <w:jc w:val="both"/>
        <w:rPr>
          <w:rFonts w:ascii="Arial" w:hAnsi="Arial" w:cs="Arial"/>
          <w:color w:val="auto"/>
          <w:sz w:val="22"/>
          <w:szCs w:val="22"/>
        </w:rPr>
      </w:pPr>
    </w:p>
    <w:p w:rsidR="00343243" w:rsidRPr="00DF1298" w:rsidRDefault="00343243" w:rsidP="00343243">
      <w:pPr>
        <w:pStyle w:val="1TEXTE"/>
        <w:spacing w:after="0" w:line="240" w:lineRule="auto"/>
        <w:ind w:left="0" w:firstLine="0"/>
        <w:rPr>
          <w:rFonts w:ascii="Arial" w:hAnsi="Arial" w:cs="Arial"/>
          <w:sz w:val="22"/>
          <w:szCs w:val="22"/>
          <w:lang w:val="fr-LU"/>
        </w:rPr>
      </w:pPr>
      <w:r w:rsidRPr="00DF1298">
        <w:rPr>
          <w:rFonts w:ascii="Arial" w:hAnsi="Arial" w:cs="Arial"/>
          <w:sz w:val="22"/>
          <w:szCs w:val="22"/>
          <w:lang w:val="fr-LU"/>
        </w:rPr>
        <w:t>Le compte général de l’exercice 2018 affiche un excédent de dépenses de 425,05 millions d’euros, alors que le budget définitif a tablé sur un excédent de dépenses de 966,92 millions d’euros. Il s’agit d’une différence de 541,86 millions d’euros.</w:t>
      </w:r>
    </w:p>
    <w:p w:rsidR="00343243" w:rsidRPr="00DF1298" w:rsidRDefault="00343243" w:rsidP="00343243">
      <w:pPr>
        <w:pStyle w:val="1TEXTE"/>
        <w:spacing w:after="0" w:line="240" w:lineRule="auto"/>
        <w:ind w:left="0" w:firstLine="0"/>
        <w:rPr>
          <w:rFonts w:ascii="Arial" w:hAnsi="Arial" w:cs="Arial"/>
          <w:sz w:val="22"/>
          <w:szCs w:val="22"/>
          <w:lang w:val="fr-LU"/>
        </w:rPr>
      </w:pPr>
    </w:p>
    <w:p w:rsidR="00343243" w:rsidRPr="00DF1298" w:rsidRDefault="00343243" w:rsidP="00343243">
      <w:pPr>
        <w:pStyle w:val="1TEXTE"/>
        <w:spacing w:after="0" w:line="240" w:lineRule="auto"/>
        <w:ind w:left="0" w:firstLine="0"/>
        <w:rPr>
          <w:rFonts w:ascii="Arial" w:hAnsi="Arial" w:cs="Arial"/>
          <w:sz w:val="22"/>
          <w:szCs w:val="22"/>
          <w:lang w:val="fr-LU"/>
        </w:rPr>
      </w:pPr>
      <w:r>
        <w:rPr>
          <w:rFonts w:ascii="Arial" w:hAnsi="Arial" w:cs="Arial"/>
          <w:sz w:val="22"/>
          <w:szCs w:val="22"/>
          <w:lang w:val="fr-LU"/>
        </w:rPr>
        <w:t>U</w:t>
      </w:r>
      <w:r w:rsidRPr="00DF1298">
        <w:rPr>
          <w:rFonts w:ascii="Arial" w:hAnsi="Arial" w:cs="Arial"/>
          <w:sz w:val="22"/>
          <w:szCs w:val="22"/>
          <w:lang w:val="fr-LU"/>
        </w:rPr>
        <w:t>n prêt à hauteur totale de 150 millions d’euros a été contracté en mai 2018 et un prêt de 500 millions d’euros a été contracté en octobre 2018.</w:t>
      </w:r>
    </w:p>
    <w:p w:rsidR="00343243" w:rsidRPr="00DF1298" w:rsidRDefault="00343243" w:rsidP="00343243">
      <w:pPr>
        <w:pStyle w:val="1TEXTE"/>
        <w:spacing w:after="0" w:line="240" w:lineRule="auto"/>
        <w:ind w:left="0" w:firstLine="0"/>
        <w:rPr>
          <w:rFonts w:ascii="Arial" w:hAnsi="Arial" w:cs="Arial"/>
          <w:sz w:val="22"/>
          <w:szCs w:val="22"/>
          <w:lang w:val="fr-LU"/>
        </w:rPr>
      </w:pPr>
    </w:p>
    <w:p w:rsidR="00343243" w:rsidRDefault="00343243" w:rsidP="00343243">
      <w:pPr>
        <w:pStyle w:val="1TEXTE"/>
        <w:spacing w:after="0" w:line="240" w:lineRule="auto"/>
        <w:ind w:left="0" w:firstLine="0"/>
        <w:rPr>
          <w:rFonts w:ascii="Arial" w:hAnsi="Arial" w:cs="Arial"/>
          <w:sz w:val="22"/>
          <w:szCs w:val="22"/>
          <w:lang w:val="fr-LU"/>
        </w:rPr>
      </w:pPr>
      <w:r w:rsidRPr="00DF1298">
        <w:rPr>
          <w:rFonts w:ascii="Arial" w:hAnsi="Arial" w:cs="Arial"/>
          <w:sz w:val="22"/>
          <w:szCs w:val="22"/>
          <w:lang w:val="fr-LU"/>
        </w:rPr>
        <w:t>La comptabilisation des recettes supplémentaires de 650 millions d’euros au budget des recettes en capital explique la différence de 669,2 millions d’euros entre le compte général et le budget définitif.</w:t>
      </w:r>
    </w:p>
    <w:p w:rsidR="00343243" w:rsidRPr="00DF1298" w:rsidRDefault="00343243" w:rsidP="00343243">
      <w:pPr>
        <w:pStyle w:val="1TEXTE"/>
        <w:spacing w:after="0" w:line="240" w:lineRule="auto"/>
        <w:ind w:left="0" w:firstLine="0"/>
        <w:rPr>
          <w:rFonts w:ascii="Arial" w:hAnsi="Arial" w:cs="Arial"/>
          <w:sz w:val="22"/>
          <w:szCs w:val="22"/>
          <w:lang w:val="fr-LU"/>
        </w:rPr>
      </w:pPr>
      <w:r>
        <w:rPr>
          <w:rFonts w:ascii="Arial" w:hAnsi="Arial" w:cs="Arial"/>
          <w:sz w:val="22"/>
          <w:szCs w:val="22"/>
          <w:lang w:val="fr-LU"/>
        </w:rPr>
        <w:t>T</w:t>
      </w:r>
      <w:r w:rsidRPr="00DF1298">
        <w:rPr>
          <w:rFonts w:ascii="Arial" w:hAnsi="Arial" w:cs="Arial"/>
          <w:sz w:val="22"/>
          <w:szCs w:val="22"/>
          <w:lang w:val="fr-LU"/>
        </w:rPr>
        <w:t>rois prêts bancaires, émis en 2007, d’un montant total de 700 millions d’euros ont été remboursés en 2018 par le biais du Fonds de la dette publique, dont l’alimentation ne figurait pas au budget définitif. Ainsi des dépenses en capital supplémentaires de 700 millions d’euros ont été comptabilisées au compte général de 2018.</w:t>
      </w:r>
    </w:p>
    <w:p w:rsidR="00343243" w:rsidRPr="00DF1298" w:rsidRDefault="00343243" w:rsidP="00343243">
      <w:pPr>
        <w:pStyle w:val="1TEXTE"/>
        <w:spacing w:after="0" w:line="240" w:lineRule="auto"/>
        <w:ind w:left="0" w:firstLine="0"/>
        <w:rPr>
          <w:rFonts w:ascii="Arial" w:hAnsi="Arial" w:cs="Arial"/>
          <w:sz w:val="22"/>
          <w:szCs w:val="22"/>
          <w:lang w:val="fr-LU"/>
        </w:rPr>
      </w:pPr>
    </w:p>
    <w:p w:rsidR="00343243" w:rsidRPr="00DF1298" w:rsidRDefault="00343243" w:rsidP="00343243">
      <w:pPr>
        <w:pStyle w:val="1TEXTE"/>
        <w:spacing w:after="0" w:line="240" w:lineRule="auto"/>
        <w:ind w:left="0" w:firstLine="0"/>
        <w:rPr>
          <w:rFonts w:ascii="Arial" w:hAnsi="Arial" w:cs="Arial"/>
          <w:sz w:val="22"/>
          <w:szCs w:val="22"/>
          <w:lang w:val="fr-LU"/>
        </w:rPr>
      </w:pPr>
      <w:r w:rsidRPr="00DF1298">
        <w:rPr>
          <w:rFonts w:ascii="Arial" w:hAnsi="Arial" w:cs="Arial"/>
          <w:sz w:val="22"/>
          <w:szCs w:val="22"/>
          <w:lang w:val="fr-LU"/>
        </w:rPr>
        <w:t>L’alimentation supplémentaire du Fonds des routes et du Fonds du rail par le biais d’un emprunt a été remplacé</w:t>
      </w:r>
      <w:r>
        <w:rPr>
          <w:rFonts w:ascii="Arial" w:hAnsi="Arial" w:cs="Arial"/>
          <w:sz w:val="22"/>
          <w:szCs w:val="22"/>
          <w:lang w:val="fr-LU"/>
        </w:rPr>
        <w:t>e</w:t>
      </w:r>
      <w:r w:rsidRPr="00DF1298">
        <w:rPr>
          <w:rFonts w:ascii="Arial" w:hAnsi="Arial" w:cs="Arial"/>
          <w:sz w:val="22"/>
          <w:szCs w:val="22"/>
          <w:lang w:val="fr-LU"/>
        </w:rPr>
        <w:t xml:space="preserve"> par des dotations supplémentaires de 150 millions d’euros pour le Fonds des routes et de 200 millions d’euros pour le Fonds du rail. Ces dépenses en capital supplémentaires par rapport au budget définitif de 2018 s’élèvent à 350 millions d’euros.</w:t>
      </w:r>
    </w:p>
    <w:p w:rsidR="00343243" w:rsidRPr="00DF1298" w:rsidRDefault="00343243" w:rsidP="00343243">
      <w:pPr>
        <w:pStyle w:val="1TEXTE"/>
        <w:spacing w:after="0" w:line="240" w:lineRule="auto"/>
        <w:ind w:left="0" w:firstLine="0"/>
        <w:rPr>
          <w:rFonts w:ascii="Arial" w:hAnsi="Arial" w:cs="Arial"/>
          <w:sz w:val="22"/>
          <w:szCs w:val="22"/>
          <w:lang w:val="fr-LU"/>
        </w:rPr>
      </w:pPr>
    </w:p>
    <w:p w:rsidR="00343243" w:rsidRPr="00DF1298" w:rsidRDefault="00343243" w:rsidP="00343243">
      <w:pPr>
        <w:pStyle w:val="1TEXTE"/>
        <w:spacing w:after="0" w:line="240" w:lineRule="auto"/>
        <w:ind w:left="0" w:firstLine="0"/>
        <w:rPr>
          <w:rFonts w:ascii="Arial" w:hAnsi="Arial" w:cs="Arial"/>
          <w:sz w:val="22"/>
          <w:szCs w:val="22"/>
          <w:lang w:val="fr-LU"/>
        </w:rPr>
      </w:pPr>
      <w:r w:rsidRPr="00DF1298">
        <w:rPr>
          <w:rFonts w:ascii="Arial" w:hAnsi="Arial" w:cs="Arial"/>
          <w:sz w:val="22"/>
          <w:szCs w:val="22"/>
          <w:lang w:val="fr-LU"/>
        </w:rPr>
        <w:t>La comptabilisation des dépenses supplémentaires de 1.050 millions d’euros au budget des dépenses en capital explique la différence de 1.063,4 millions d’euros entre le compte général et le budget définitif.</w:t>
      </w:r>
    </w:p>
    <w:p w:rsidR="00343243" w:rsidRPr="00DF1298" w:rsidRDefault="00343243" w:rsidP="00343243">
      <w:pPr>
        <w:pStyle w:val="1TEXTE"/>
        <w:spacing w:after="0" w:line="240" w:lineRule="auto"/>
        <w:ind w:left="0" w:firstLine="0"/>
        <w:rPr>
          <w:rFonts w:ascii="Arial" w:hAnsi="Arial" w:cs="Arial"/>
          <w:sz w:val="22"/>
          <w:szCs w:val="22"/>
          <w:lang w:val="fr-LU"/>
        </w:rPr>
      </w:pPr>
    </w:p>
    <w:p w:rsidR="00343243" w:rsidRPr="00DF1298" w:rsidRDefault="00343243" w:rsidP="00343243">
      <w:pPr>
        <w:pStyle w:val="1TEXTE"/>
        <w:spacing w:after="0" w:line="240" w:lineRule="auto"/>
        <w:ind w:left="0" w:firstLine="0"/>
        <w:rPr>
          <w:rFonts w:ascii="Arial" w:hAnsi="Arial" w:cs="Arial"/>
          <w:sz w:val="22"/>
          <w:szCs w:val="22"/>
          <w:lang w:val="fr-LU"/>
        </w:rPr>
      </w:pPr>
      <w:r w:rsidRPr="00DF1298">
        <w:rPr>
          <w:rFonts w:ascii="Arial" w:hAnsi="Arial" w:cs="Arial"/>
          <w:sz w:val="22"/>
          <w:szCs w:val="22"/>
          <w:lang w:val="fr-LU"/>
        </w:rPr>
        <w:t xml:space="preserve">Le compte général corrigé de l’exercice 2018 affiche un excédent de dépenses de 25,05 millions d’euros, alors que le budget voté a tablé sur un déficit de 966,92 millions d’euros. </w:t>
      </w:r>
    </w:p>
    <w:p w:rsidR="00343243" w:rsidRPr="00DF1298" w:rsidRDefault="00343243" w:rsidP="00343243">
      <w:pPr>
        <w:pStyle w:val="1TEXTE"/>
        <w:spacing w:after="0" w:line="240" w:lineRule="auto"/>
        <w:ind w:left="0" w:firstLine="0"/>
        <w:rPr>
          <w:rFonts w:ascii="Arial" w:hAnsi="Arial" w:cs="Arial"/>
          <w:sz w:val="22"/>
          <w:szCs w:val="22"/>
          <w:lang w:val="fr-LU"/>
        </w:rPr>
      </w:pPr>
    </w:p>
    <w:p w:rsidR="00343243" w:rsidRPr="00DF1298" w:rsidRDefault="00343243" w:rsidP="00343243">
      <w:pPr>
        <w:pStyle w:val="1TEXTE"/>
        <w:spacing w:after="0" w:line="240" w:lineRule="auto"/>
        <w:ind w:left="0" w:firstLine="0"/>
        <w:rPr>
          <w:rFonts w:ascii="Arial" w:hAnsi="Arial" w:cs="Arial"/>
          <w:sz w:val="22"/>
          <w:szCs w:val="22"/>
          <w:lang w:val="fr-LU"/>
        </w:rPr>
      </w:pPr>
      <w:r w:rsidRPr="00DF1298">
        <w:rPr>
          <w:rFonts w:ascii="Arial" w:hAnsi="Arial" w:cs="Arial"/>
          <w:sz w:val="22"/>
          <w:szCs w:val="22"/>
          <w:lang w:val="fr-LU"/>
        </w:rPr>
        <w:t xml:space="preserve">La différence de 941,86 millions d’euros entre le résultat du compte général et celui prévu au budget de 2018 s’explique essentiellement par l’augmentation importante des recettes courantes qui passent de 13.981,05 millions d’euros à 15.076,31 millions d’euros. </w:t>
      </w:r>
    </w:p>
    <w:p w:rsidR="00343243" w:rsidRPr="00DF1298" w:rsidRDefault="00343243" w:rsidP="00343243">
      <w:pPr>
        <w:pStyle w:val="1TEXTE"/>
        <w:spacing w:after="0" w:line="240" w:lineRule="auto"/>
        <w:ind w:left="0" w:firstLine="0"/>
        <w:rPr>
          <w:rFonts w:ascii="Arial" w:hAnsi="Arial" w:cs="Arial"/>
          <w:sz w:val="22"/>
          <w:szCs w:val="22"/>
          <w:lang w:val="fr-LU"/>
        </w:rPr>
      </w:pPr>
    </w:p>
    <w:p w:rsidR="00DC2D3C" w:rsidRDefault="00DC2D3C" w:rsidP="00343243">
      <w:pPr>
        <w:spacing w:after="0" w:line="240" w:lineRule="auto"/>
      </w:pPr>
    </w:p>
    <w:sectPr w:rsidR="00DC2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55 Roman">
    <w:altName w:val="Arial Narrow"/>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243"/>
    <w:rsid w:val="00343243"/>
    <w:rsid w:val="00552F21"/>
    <w:rsid w:val="007B2359"/>
    <w:rsid w:val="008765CF"/>
    <w:rsid w:val="009618E3"/>
    <w:rsid w:val="00AA678C"/>
    <w:rsid w:val="00DC2D3C"/>
    <w:rsid w:val="00EA142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D65195-4D8C-475A-86F6-75754EB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3243"/>
    <w:pPr>
      <w:autoSpaceDE w:val="0"/>
      <w:autoSpaceDN w:val="0"/>
      <w:adjustRightInd w:val="0"/>
    </w:pPr>
    <w:rPr>
      <w:rFonts w:ascii="Garamond" w:eastAsia="Times New Roman" w:hAnsi="Garamond" w:cs="Garamond"/>
      <w:color w:val="000000"/>
      <w:sz w:val="24"/>
      <w:szCs w:val="24"/>
    </w:rPr>
  </w:style>
  <w:style w:type="paragraph" w:customStyle="1" w:styleId="1TEXTE">
    <w:name w:val="1     TEXTE"/>
    <w:basedOn w:val="Normal"/>
    <w:link w:val="1TEXTEChar"/>
    <w:rsid w:val="00343243"/>
    <w:pPr>
      <w:spacing w:after="240" w:line="360" w:lineRule="auto"/>
      <w:ind w:left="1985" w:hanging="851"/>
      <w:jc w:val="both"/>
    </w:pPr>
    <w:rPr>
      <w:rFonts w:ascii="Garamond" w:eastAsia="Times New Roman" w:hAnsi="Garamond"/>
      <w:sz w:val="20"/>
      <w:szCs w:val="20"/>
      <w:lang w:val="fr-FR"/>
    </w:rPr>
  </w:style>
  <w:style w:type="character" w:customStyle="1" w:styleId="1TEXTEChar">
    <w:name w:val="1     TEXTE Char"/>
    <w:link w:val="1TEXTE"/>
    <w:rsid w:val="00343243"/>
    <w:rPr>
      <w:rFonts w:ascii="Garamond" w:eastAsia="Times New Roman" w:hAnsi="Garamond"/>
      <w:lang w:val="fr-FR" w:eastAsia="en-US"/>
    </w:rPr>
  </w:style>
  <w:style w:type="paragraph" w:customStyle="1" w:styleId="1texte0">
    <w:name w:val="1texte"/>
    <w:basedOn w:val="Normal"/>
    <w:rsid w:val="00343243"/>
    <w:pPr>
      <w:spacing w:after="240" w:line="360" w:lineRule="auto"/>
      <w:ind w:left="1985" w:hanging="851"/>
      <w:jc w:val="both"/>
    </w:pPr>
    <w:rPr>
      <w:rFonts w:ascii="Garamond" w:eastAsia="Times New Roman" w:hAnsi="Garamond"/>
      <w:sz w:val="20"/>
      <w:szCs w:val="20"/>
      <w:lang w:val="en-US"/>
    </w:rPr>
  </w:style>
  <w:style w:type="paragraph" w:customStyle="1" w:styleId="1TitreTableaugrand">
    <w:name w:val="1     Titre Tableau grand"/>
    <w:basedOn w:val="Normal"/>
    <w:next w:val="Normal"/>
    <w:rsid w:val="00343243"/>
    <w:pPr>
      <w:keepNext/>
      <w:spacing w:before="480" w:afterLines="150" w:after="0" w:line="360" w:lineRule="auto"/>
      <w:ind w:left="1089" w:firstLine="6"/>
      <w:jc w:val="center"/>
    </w:pPr>
    <w:rPr>
      <w:rFonts w:ascii="Frutiger 55 Roman" w:eastAsia="Times New Roman" w:hAnsi="Frutiger 55 Roman"/>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06857EE-31F9-4AC3-92F0-B7DDD0235098}"/>
</file>

<file path=customXml/itemProps2.xml><?xml version="1.0" encoding="utf-8"?>
<ds:datastoreItem xmlns:ds="http://schemas.openxmlformats.org/officeDocument/2006/customXml" ds:itemID="{3C95F4D2-FC05-40E7-A4B3-91F27AC37EF5}"/>
</file>

<file path=customXml/itemProps3.xml><?xml version="1.0" encoding="utf-8"?>
<ds:datastoreItem xmlns:ds="http://schemas.openxmlformats.org/officeDocument/2006/customXml" ds:itemID="{1C0BF944-D9DF-4EFE-A163-CB6209A9E734}"/>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3156</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