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4"/>
      </w:tblGrid>
      <w:tr w:rsidR="00E62CF8" w:rsidRPr="00E62CF8" w:rsidTr="00E62CF8">
        <w:trPr>
          <w:jc w:val="center"/>
        </w:trPr>
        <w:tc>
          <w:tcPr>
            <w:tcW w:w="7664" w:type="dxa"/>
            <w:hideMark/>
          </w:tcPr>
          <w:p w:rsidR="00E62CF8" w:rsidRPr="00E62CF8" w:rsidRDefault="00E62CF8" w:rsidP="00E62CF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E62CF8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PL 7443</w:t>
            </w:r>
          </w:p>
          <w:p w:rsidR="00E62CF8" w:rsidRPr="00E62CF8" w:rsidRDefault="00E62CF8" w:rsidP="00E62CF8">
            <w:pPr>
              <w:jc w:val="center"/>
              <w:rPr>
                <w:rFonts w:ascii="Arial" w:eastAsia="Arial" w:hAnsi="Arial" w:cs="Arial"/>
                <w:b/>
                <w:bCs/>
                <w:u w:val="single"/>
                <w:lang w:eastAsia="fr-LU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Pr</w:t>
            </w:r>
            <w:r w:rsidRPr="00E62CF8">
              <w:rPr>
                <w:rFonts w:ascii="Arial" w:eastAsia="Arial" w:hAnsi="Arial" w:cs="Arial"/>
                <w:b/>
                <w:bCs/>
                <w:u w:val="single"/>
              </w:rPr>
              <w:t>ojet de loi portant modification de la loi modifiée du 27 février 2011 sur les réseaux et les services de communication électroniques</w:t>
            </w:r>
          </w:p>
          <w:p w:rsidR="00E62CF8" w:rsidRDefault="00E62CF8">
            <w:pPr>
              <w:jc w:val="both"/>
              <w:rPr>
                <w:rFonts w:ascii="Arial" w:eastAsia="Arial" w:hAnsi="Arial" w:cs="Arial"/>
              </w:rPr>
            </w:pPr>
            <w:r w:rsidRPr="00E62CF8">
              <w:rPr>
                <w:rFonts w:ascii="Arial" w:hAnsi="Arial" w:cs="Arial"/>
              </w:rPr>
              <w:t xml:space="preserve">Suite à l’entrée en vigueur d’un </w:t>
            </w:r>
            <w:r w:rsidRPr="00E62CF8">
              <w:rPr>
                <w:rFonts w:ascii="Arial" w:hAnsi="Arial" w:cs="Arial"/>
                <w:b/>
                <w:bCs/>
                <w:color w:val="FF0000"/>
              </w:rPr>
              <w:t>nouveau règlement européen</w:t>
            </w:r>
            <w:r w:rsidRPr="00E62CF8">
              <w:rPr>
                <w:rStyle w:val="Appelnotedebasdep"/>
                <w:rFonts w:ascii="Arial" w:hAnsi="Arial" w:cs="Arial"/>
              </w:rPr>
              <w:footnoteReference w:id="1"/>
            </w:r>
            <w:r w:rsidRPr="00E62CF8">
              <w:rPr>
                <w:rFonts w:ascii="Arial" w:hAnsi="Arial" w:cs="Arial"/>
              </w:rPr>
              <w:t xml:space="preserve">, le </w:t>
            </w:r>
            <w:r w:rsidRPr="00E62CF8">
              <w:rPr>
                <w:rFonts w:ascii="Arial" w:hAnsi="Arial" w:cs="Arial"/>
                <w:b/>
                <w:bCs/>
              </w:rPr>
              <w:t>PL 7443</w:t>
            </w:r>
            <w:r w:rsidRPr="00E62CF8">
              <w:rPr>
                <w:rFonts w:ascii="Arial" w:hAnsi="Arial" w:cs="Arial"/>
              </w:rPr>
              <w:t xml:space="preserve"> prévoit une modification de </w:t>
            </w:r>
            <w:r w:rsidRPr="00E62CF8">
              <w:rPr>
                <w:rFonts w:ascii="Arial" w:hAnsi="Arial" w:cs="Arial"/>
                <w:b/>
                <w:bCs/>
              </w:rPr>
              <w:t>l’article 83</w:t>
            </w:r>
            <w:r w:rsidRPr="00E62CF8">
              <w:rPr>
                <w:rFonts w:ascii="Arial" w:hAnsi="Arial" w:cs="Arial"/>
              </w:rPr>
              <w:t xml:space="preserve"> de la </w:t>
            </w:r>
            <w:r w:rsidRPr="00E62CF8">
              <w:rPr>
                <w:rFonts w:ascii="Arial" w:eastAsia="Arial" w:hAnsi="Arial" w:cs="Arial"/>
                <w:b/>
                <w:bCs/>
              </w:rPr>
              <w:t>loi modifiée du 27 février 2011 sur les réseaux et les services de communication électroniques</w:t>
            </w:r>
            <w:r w:rsidRPr="00E62CF8">
              <w:rPr>
                <w:rFonts w:ascii="Arial" w:eastAsia="Arial" w:hAnsi="Arial" w:cs="Arial"/>
              </w:rPr>
              <w:t xml:space="preserve"> afin d’adapter le cadre légal national pour donner au régulateur national, l’Institut Luxembourgeois de Régulation (ILR), le pouvoir d’infliger des sanctions tel que prévu à </w:t>
            </w:r>
            <w:r w:rsidRPr="00E62CF8">
              <w:rPr>
                <w:rFonts w:ascii="Arial" w:eastAsia="Arial" w:hAnsi="Arial" w:cs="Arial"/>
                <w:u w:val="single"/>
              </w:rPr>
              <w:t>l’article 50, paragraphe 5,</w:t>
            </w:r>
            <w:r w:rsidRPr="00E62CF8">
              <w:rPr>
                <w:rFonts w:ascii="Arial" w:eastAsia="Arial" w:hAnsi="Arial" w:cs="Arial"/>
              </w:rPr>
              <w:t xml:space="preserve"> du </w:t>
            </w:r>
            <w:r w:rsidRPr="00E62CF8">
              <w:rPr>
                <w:rFonts w:ascii="Arial" w:eastAsia="Arial" w:hAnsi="Arial" w:cs="Arial"/>
                <w:u w:val="single"/>
              </w:rPr>
              <w:t>règlement ORECE</w:t>
            </w:r>
            <w:r w:rsidRPr="00E62CF8">
              <w:rPr>
                <w:rFonts w:ascii="Arial" w:eastAsia="Arial" w:hAnsi="Arial" w:cs="Arial"/>
              </w:rPr>
              <w:t xml:space="preserve"> dans le cas de violations de </w:t>
            </w:r>
            <w:r w:rsidRPr="00E62CF8">
              <w:rPr>
                <w:rFonts w:ascii="Arial" w:eastAsia="Arial" w:hAnsi="Arial" w:cs="Arial"/>
                <w:u w:val="single"/>
              </w:rPr>
              <w:t>l’article 5</w:t>
            </w:r>
            <w:r w:rsidRPr="00E62CF8">
              <w:rPr>
                <w:rFonts w:ascii="Arial" w:eastAsia="Arial" w:hAnsi="Arial" w:cs="Arial"/>
                <w:i/>
                <w:iCs/>
                <w:u w:val="single"/>
              </w:rPr>
              <w:t>bis</w:t>
            </w:r>
            <w:r w:rsidRPr="00E62CF8">
              <w:rPr>
                <w:rFonts w:ascii="Arial" w:eastAsia="Arial" w:hAnsi="Arial" w:cs="Arial"/>
              </w:rPr>
              <w:t xml:space="preserve"> du </w:t>
            </w:r>
            <w:r w:rsidRPr="00E62CF8">
              <w:rPr>
                <w:rFonts w:ascii="Arial" w:eastAsia="Arial" w:hAnsi="Arial" w:cs="Arial"/>
                <w:u w:val="single"/>
              </w:rPr>
              <w:t>règlement (UE) 2015/2120</w:t>
            </w:r>
            <w:r w:rsidRPr="00E62CF8">
              <w:rPr>
                <w:rFonts w:ascii="Arial" w:eastAsia="Arial" w:hAnsi="Arial" w:cs="Arial"/>
              </w:rPr>
              <w:t>.</w:t>
            </w:r>
          </w:p>
          <w:p w:rsidR="00E62CF8" w:rsidRPr="006D321F" w:rsidRDefault="00E62CF8" w:rsidP="00E62CF8">
            <w:pPr>
              <w:jc w:val="both"/>
              <w:rPr>
                <w:rFonts w:ascii="Arial" w:hAnsi="Arial" w:cs="Arial"/>
                <w:lang w:val="fr-CH" w:eastAsia="fr-FR"/>
              </w:rPr>
            </w:pPr>
            <w:r w:rsidRPr="006D321F">
              <w:rPr>
                <w:rFonts w:ascii="Arial" w:hAnsi="Arial" w:cs="Arial"/>
                <w:lang w:val="fr-CH" w:eastAsia="fr-FR"/>
              </w:rPr>
              <w:t xml:space="preserve">Le </w:t>
            </w:r>
            <w:r w:rsidRPr="00F15A56">
              <w:rPr>
                <w:rFonts w:ascii="Arial" w:hAnsi="Arial" w:cs="Arial"/>
                <w:u w:val="single"/>
                <w:lang w:val="fr-CH" w:eastAsia="fr-FR"/>
              </w:rPr>
              <w:t>règlement ORECE</w:t>
            </w:r>
            <w:r w:rsidRPr="006D321F">
              <w:rPr>
                <w:rFonts w:ascii="Arial" w:hAnsi="Arial" w:cs="Arial"/>
                <w:lang w:val="fr-CH" w:eastAsia="fr-FR"/>
              </w:rPr>
              <w:t xml:space="preserve"> modifie le </w:t>
            </w:r>
            <w:r w:rsidRPr="00F15A56">
              <w:rPr>
                <w:rFonts w:ascii="Arial" w:hAnsi="Arial" w:cs="Arial"/>
                <w:u w:val="single"/>
                <w:lang w:val="fr-CH" w:eastAsia="fr-FR"/>
              </w:rPr>
              <w:t>règlement 2015/2120</w:t>
            </w:r>
            <w:r w:rsidRPr="006D321F">
              <w:rPr>
                <w:rFonts w:ascii="Arial" w:hAnsi="Arial" w:cs="Arial"/>
                <w:lang w:val="fr-CH" w:eastAsia="fr-FR"/>
              </w:rPr>
              <w:t xml:space="preserve"> du Parlement européen et du Conseil du 25 novembre 2015 établissant des mesures relatives à l’accès à un internet ouvert et modifiant la directive 2002/22/CE concernant le service universel et les droits des utilisateurs au regard des réseaux et services de communications électroniques et le règlement (UE) n</w:t>
            </w:r>
            <w:r>
              <w:rPr>
                <w:rFonts w:ascii="Arial" w:hAnsi="Arial" w:cs="Arial"/>
                <w:lang w:val="fr-CH" w:eastAsia="fr-FR"/>
              </w:rPr>
              <w:t>°</w:t>
            </w:r>
            <w:r w:rsidRPr="006D321F">
              <w:rPr>
                <w:rFonts w:ascii="Arial" w:hAnsi="Arial" w:cs="Arial"/>
                <w:lang w:val="fr-CH" w:eastAsia="fr-FR"/>
              </w:rPr>
              <w:t xml:space="preserve"> 531/2012 concernant l’itinérance sur les réseaux publics de communications mobiles à l’intérieur de l’Union en y introduisant, entre autres, d’une part, un </w:t>
            </w:r>
            <w:r w:rsidRPr="00F15A56">
              <w:rPr>
                <w:rFonts w:ascii="Arial" w:hAnsi="Arial" w:cs="Arial"/>
                <w:u w:val="single"/>
                <w:lang w:val="fr-CH" w:eastAsia="fr-FR"/>
              </w:rPr>
              <w:t>article 5</w:t>
            </w:r>
            <w:r w:rsidRPr="00F15A56">
              <w:rPr>
                <w:rFonts w:ascii="Arial" w:hAnsi="Arial" w:cs="Arial"/>
                <w:i/>
                <w:iCs/>
                <w:u w:val="single"/>
                <w:lang w:val="fr-CH" w:eastAsia="fr-FR"/>
              </w:rPr>
              <w:t>bis</w:t>
            </w:r>
            <w:r w:rsidRPr="006D321F">
              <w:rPr>
                <w:rFonts w:ascii="Arial" w:hAnsi="Arial" w:cs="Arial"/>
                <w:lang w:val="fr-CH" w:eastAsia="fr-FR"/>
              </w:rPr>
              <w:t xml:space="preserve">, et d’autre part, un </w:t>
            </w:r>
            <w:r w:rsidRPr="00F15A56">
              <w:rPr>
                <w:rFonts w:ascii="Arial" w:hAnsi="Arial" w:cs="Arial"/>
                <w:u w:val="single"/>
                <w:lang w:val="fr-CH" w:eastAsia="fr-FR"/>
              </w:rPr>
              <w:t>nouvel alinéa</w:t>
            </w:r>
            <w:r w:rsidRPr="006D321F">
              <w:rPr>
                <w:rFonts w:ascii="Arial" w:hAnsi="Arial" w:cs="Arial"/>
                <w:lang w:val="fr-CH" w:eastAsia="fr-FR"/>
              </w:rPr>
              <w:t xml:space="preserve"> à </w:t>
            </w:r>
            <w:r w:rsidRPr="00F15A56">
              <w:rPr>
                <w:rFonts w:ascii="Arial" w:hAnsi="Arial" w:cs="Arial"/>
                <w:u w:val="single"/>
                <w:lang w:val="fr-CH" w:eastAsia="fr-FR"/>
              </w:rPr>
              <w:t>l’article 6</w:t>
            </w:r>
            <w:r w:rsidRPr="006D321F">
              <w:rPr>
                <w:rFonts w:ascii="Arial" w:hAnsi="Arial" w:cs="Arial"/>
                <w:lang w:val="fr-CH" w:eastAsia="fr-FR"/>
              </w:rPr>
              <w:t xml:space="preserve">. </w:t>
            </w:r>
          </w:p>
          <w:p w:rsidR="00E62CF8" w:rsidRPr="00E62CF8" w:rsidRDefault="00E62CF8" w:rsidP="00E62CF8">
            <w:pPr>
              <w:pStyle w:val="Notedebasdepage"/>
              <w:jc w:val="both"/>
              <w:rPr>
                <w:sz w:val="22"/>
                <w:szCs w:val="22"/>
              </w:rPr>
            </w:pPr>
            <w:r w:rsidRPr="00E62CF8">
              <w:rPr>
                <w:rFonts w:cs="Arial"/>
                <w:sz w:val="22"/>
                <w:szCs w:val="22"/>
                <w:lang w:val="fr-CH" w:eastAsia="fr-FR"/>
              </w:rPr>
              <w:t xml:space="preserve">Le nouvel </w:t>
            </w:r>
            <w:r w:rsidRPr="00E62CF8">
              <w:rPr>
                <w:rFonts w:cs="Arial"/>
                <w:sz w:val="22"/>
                <w:szCs w:val="22"/>
                <w:u w:val="single"/>
                <w:lang w:val="fr-CH" w:eastAsia="fr-FR"/>
              </w:rPr>
              <w:t>article 5</w:t>
            </w:r>
            <w:r w:rsidRPr="00E62CF8">
              <w:rPr>
                <w:rFonts w:cs="Arial"/>
                <w:i/>
                <w:iCs/>
                <w:sz w:val="22"/>
                <w:szCs w:val="22"/>
                <w:u w:val="single"/>
                <w:lang w:val="fr-CH" w:eastAsia="fr-FR"/>
              </w:rPr>
              <w:t>bis</w:t>
            </w:r>
            <w:r w:rsidRPr="00E62CF8">
              <w:rPr>
                <w:rFonts w:eastAsia="Arial" w:cs="Arial"/>
                <w:sz w:val="22"/>
                <w:szCs w:val="22"/>
                <w:lang w:val="fr-CH"/>
              </w:rPr>
              <w:t xml:space="preserve"> </w:t>
            </w:r>
            <w:r w:rsidRPr="00E62CF8">
              <w:rPr>
                <w:rFonts w:eastAsia="Arial" w:cs="Arial"/>
                <w:sz w:val="22"/>
                <w:szCs w:val="22"/>
              </w:rPr>
              <w:t xml:space="preserve">du </w:t>
            </w:r>
            <w:r w:rsidRPr="00E62CF8">
              <w:rPr>
                <w:rFonts w:eastAsia="Arial" w:cs="Arial"/>
                <w:sz w:val="22"/>
                <w:szCs w:val="22"/>
                <w:u w:val="single"/>
              </w:rPr>
              <w:t>règlement (UE) 2015/2120</w:t>
            </w:r>
            <w:r w:rsidRPr="00E62CF8">
              <w:rPr>
                <w:rFonts w:eastAsia="Arial" w:cs="Arial"/>
                <w:sz w:val="22"/>
                <w:szCs w:val="22"/>
              </w:rPr>
              <w:t xml:space="preserve"> </w:t>
            </w:r>
            <w:r w:rsidRPr="00E62CF8">
              <w:rPr>
                <w:rFonts w:cs="Arial"/>
                <w:sz w:val="22"/>
                <w:szCs w:val="22"/>
              </w:rPr>
              <w:t>fixe un plafond à compter du 15 mai 2019, pour les prix de détail (hors TVA) facturés aux consommateurs pour les communications à l’intérieur de l’Union européenne qui est de</w:t>
            </w:r>
          </w:p>
          <w:p w:rsidR="00E62CF8" w:rsidRPr="00E62CF8" w:rsidRDefault="00E62CF8" w:rsidP="00E62CF8">
            <w:pPr>
              <w:pStyle w:val="Notedebasdepage"/>
              <w:ind w:firstLine="273"/>
              <w:jc w:val="both"/>
              <w:rPr>
                <w:sz w:val="22"/>
                <w:szCs w:val="22"/>
              </w:rPr>
            </w:pPr>
            <w:r w:rsidRPr="00E62CF8">
              <w:rPr>
                <w:sz w:val="22"/>
                <w:szCs w:val="22"/>
              </w:rPr>
              <w:t>- 0,19 euro par minute pour les appels</w:t>
            </w:r>
          </w:p>
          <w:p w:rsidR="00E62CF8" w:rsidRPr="00E62CF8" w:rsidRDefault="00E62CF8" w:rsidP="00E62CF8">
            <w:pPr>
              <w:pStyle w:val="Notedebasdepage"/>
              <w:ind w:firstLine="1548"/>
              <w:jc w:val="both"/>
              <w:rPr>
                <w:sz w:val="22"/>
                <w:szCs w:val="22"/>
              </w:rPr>
            </w:pPr>
            <w:r w:rsidRPr="00E62CF8">
              <w:rPr>
                <w:sz w:val="22"/>
                <w:szCs w:val="22"/>
              </w:rPr>
              <w:t>et</w:t>
            </w:r>
          </w:p>
          <w:p w:rsidR="00E62CF8" w:rsidRDefault="00E62CF8" w:rsidP="00E62CF8">
            <w:pPr>
              <w:pStyle w:val="Notedebasdepage"/>
              <w:ind w:firstLine="273"/>
              <w:jc w:val="both"/>
              <w:rPr>
                <w:sz w:val="22"/>
                <w:szCs w:val="22"/>
              </w:rPr>
            </w:pPr>
            <w:r w:rsidRPr="00E62CF8">
              <w:rPr>
                <w:sz w:val="22"/>
                <w:szCs w:val="22"/>
              </w:rPr>
              <w:t>- 0,06 euro par SMS.</w:t>
            </w:r>
          </w:p>
          <w:p w:rsidR="00E62CF8" w:rsidRPr="00E62CF8" w:rsidRDefault="00E62CF8" w:rsidP="00E62CF8">
            <w:pPr>
              <w:pStyle w:val="Notedebasdepage"/>
              <w:ind w:hanging="11"/>
              <w:jc w:val="both"/>
              <w:rPr>
                <w:sz w:val="22"/>
                <w:szCs w:val="22"/>
              </w:rPr>
            </w:pPr>
          </w:p>
          <w:p w:rsidR="00E62CF8" w:rsidRPr="00E62CF8" w:rsidRDefault="00E62CF8">
            <w:pPr>
              <w:jc w:val="both"/>
              <w:rPr>
                <w:rFonts w:ascii="Arial" w:hAnsi="Arial" w:cs="Arial"/>
                <w:lang w:val="fr-CH" w:eastAsia="fr-FR"/>
              </w:rPr>
            </w:pPr>
            <w:r w:rsidRPr="006D321F">
              <w:rPr>
                <w:rFonts w:ascii="Arial" w:hAnsi="Arial" w:cs="Arial"/>
                <w:lang w:val="fr-CH" w:eastAsia="fr-FR"/>
              </w:rPr>
              <w:t xml:space="preserve">En vertu du principe de la légalité des incriminations et des peines, </w:t>
            </w:r>
            <w:r w:rsidRPr="00F15A56">
              <w:rPr>
                <w:rFonts w:ascii="Arial" w:hAnsi="Arial" w:cs="Arial"/>
                <w:u w:val="single"/>
                <w:lang w:val="fr-CH" w:eastAsia="fr-FR"/>
              </w:rPr>
              <w:t>l’article 5</w:t>
            </w:r>
            <w:r w:rsidRPr="00F15A56">
              <w:rPr>
                <w:rFonts w:ascii="Arial" w:hAnsi="Arial" w:cs="Arial"/>
                <w:i/>
                <w:iCs/>
                <w:u w:val="single"/>
                <w:lang w:val="fr-CH" w:eastAsia="fr-FR"/>
              </w:rPr>
              <w:t>bis</w:t>
            </w:r>
            <w:r w:rsidRPr="006D321F">
              <w:rPr>
                <w:rFonts w:ascii="Arial" w:hAnsi="Arial" w:cs="Arial"/>
                <w:lang w:val="fr-CH" w:eastAsia="fr-FR"/>
              </w:rPr>
              <w:t xml:space="preserve"> précité est spécifié à </w:t>
            </w:r>
            <w:r w:rsidRPr="00F15A56">
              <w:rPr>
                <w:rFonts w:ascii="Arial" w:hAnsi="Arial" w:cs="Arial"/>
                <w:b/>
                <w:bCs/>
                <w:lang w:val="fr-CH" w:eastAsia="fr-FR"/>
              </w:rPr>
              <w:t>l’article 83</w:t>
            </w:r>
            <w:r w:rsidRPr="006D321F">
              <w:rPr>
                <w:rFonts w:ascii="Arial" w:hAnsi="Arial" w:cs="Arial"/>
                <w:lang w:val="fr-CH" w:eastAsia="fr-FR"/>
              </w:rPr>
              <w:t xml:space="preserve"> de la </w:t>
            </w:r>
            <w:r w:rsidRPr="00F15A56">
              <w:rPr>
                <w:rFonts w:ascii="Arial" w:hAnsi="Arial" w:cs="Arial"/>
                <w:b/>
                <w:bCs/>
                <w:lang w:val="fr-CH" w:eastAsia="fr-FR"/>
              </w:rPr>
              <w:t>loi modifiée du 27 février 2011 sur les réseaux et les services de communications électroniques</w:t>
            </w:r>
            <w:r w:rsidRPr="006D321F">
              <w:rPr>
                <w:rFonts w:ascii="Arial" w:hAnsi="Arial" w:cs="Arial"/>
                <w:lang w:val="fr-CH" w:eastAsia="fr-FR"/>
              </w:rPr>
              <w:t xml:space="preserve"> dans la liste des dispositions dont la violation peut entra</w:t>
            </w:r>
            <w:r>
              <w:rPr>
                <w:rFonts w:ascii="Arial" w:hAnsi="Arial" w:cs="Arial"/>
                <w:lang w:val="fr-CH" w:eastAsia="fr-FR"/>
              </w:rPr>
              <w:t>î</w:t>
            </w:r>
            <w:r w:rsidRPr="006D321F">
              <w:rPr>
                <w:rFonts w:ascii="Arial" w:hAnsi="Arial" w:cs="Arial"/>
                <w:lang w:val="fr-CH" w:eastAsia="fr-FR"/>
              </w:rPr>
              <w:t>ner une sanction par l’Institut Luxembourgeois de Régulation (ILR).</w:t>
            </w:r>
          </w:p>
          <w:p w:rsidR="00E62CF8" w:rsidRPr="00E62CF8" w:rsidRDefault="00E62CF8" w:rsidP="00E62CF8">
            <w:pPr>
              <w:jc w:val="both"/>
              <w:rPr>
                <w:rFonts w:ascii="Arial" w:eastAsia="Arial" w:hAnsi="Arial" w:cs="Arial"/>
              </w:rPr>
            </w:pPr>
            <w:r w:rsidRPr="00E62CF8">
              <w:rPr>
                <w:rFonts w:ascii="Arial" w:hAnsi="Arial" w:cs="Arial"/>
                <w:lang w:val="fr-CH"/>
              </w:rPr>
              <w:t>L’adaptation à laquelle il est procédé doit</w:t>
            </w:r>
            <w:r w:rsidRPr="00E62CF8">
              <w:rPr>
                <w:rFonts w:ascii="Arial" w:hAnsi="Arial" w:cs="Arial"/>
              </w:rPr>
              <w:t xml:space="preserve"> permettre à l’ILR de sanctionner, le cas échéant, le non-respect de cette obligation par les opérateurs (non-respect du plafond imposé), il est nécessaire d’ajouter la référence à cet </w:t>
            </w:r>
            <w:r w:rsidRPr="00E62CF8">
              <w:rPr>
                <w:rFonts w:ascii="Arial" w:hAnsi="Arial" w:cs="Arial"/>
                <w:u w:val="single"/>
              </w:rPr>
              <w:t>article 5</w:t>
            </w:r>
            <w:r w:rsidRPr="00E62CF8">
              <w:rPr>
                <w:rFonts w:ascii="Arial" w:hAnsi="Arial" w:cs="Arial"/>
                <w:i/>
                <w:iCs/>
                <w:u w:val="single"/>
              </w:rPr>
              <w:t>bis</w:t>
            </w:r>
            <w:r w:rsidRPr="00E62CF8">
              <w:rPr>
                <w:rFonts w:ascii="Arial" w:hAnsi="Arial" w:cs="Arial"/>
              </w:rPr>
              <w:t xml:space="preserve"> du </w:t>
            </w:r>
            <w:r w:rsidRPr="00E62CF8">
              <w:rPr>
                <w:rFonts w:ascii="Arial" w:hAnsi="Arial" w:cs="Arial"/>
                <w:u w:val="single"/>
              </w:rPr>
              <w:t>règlement (UE) 2015/2120</w:t>
            </w:r>
            <w:r w:rsidRPr="00E62CF8">
              <w:rPr>
                <w:rFonts w:ascii="Arial" w:hAnsi="Arial" w:cs="Arial"/>
              </w:rPr>
              <w:t xml:space="preserve"> à </w:t>
            </w:r>
            <w:r w:rsidRPr="00E62CF8">
              <w:rPr>
                <w:rFonts w:ascii="Arial" w:hAnsi="Arial" w:cs="Arial"/>
                <w:b/>
                <w:bCs/>
              </w:rPr>
              <w:t>l’article 83</w:t>
            </w:r>
            <w:r w:rsidRPr="00E62CF8">
              <w:rPr>
                <w:rFonts w:ascii="Arial" w:hAnsi="Arial" w:cs="Arial"/>
              </w:rPr>
              <w:t xml:space="preserve"> de la </w:t>
            </w:r>
            <w:r w:rsidRPr="00E62CF8">
              <w:rPr>
                <w:rFonts w:ascii="Arial" w:hAnsi="Arial" w:cs="Arial"/>
                <w:b/>
                <w:bCs/>
              </w:rPr>
              <w:t>loi modifiée du 27 février 2011 sur les réseaux et les services de communications électroniques</w:t>
            </w:r>
            <w:r w:rsidRPr="00E62CF8">
              <w:rPr>
                <w:rFonts w:ascii="Arial" w:hAnsi="Arial" w:cs="Arial"/>
              </w:rPr>
              <w:t>.</w:t>
            </w:r>
            <w:r w:rsidRPr="00E62CF8">
              <w:rPr>
                <w:rFonts w:ascii="Arial" w:eastAsia="Arial" w:hAnsi="Arial" w:cs="Arial"/>
                <w:b/>
                <w:bCs/>
                <w:lang w:val="fr-CH"/>
              </w:rPr>
              <w:t xml:space="preserve"> </w:t>
            </w:r>
          </w:p>
        </w:tc>
      </w:tr>
    </w:tbl>
    <w:p w:rsidR="000323D1" w:rsidRPr="00E62CF8" w:rsidRDefault="000323D1" w:rsidP="00E62CF8">
      <w:pPr>
        <w:rPr>
          <w:rFonts w:ascii="Arial" w:hAnsi="Arial" w:cs="Arial"/>
        </w:rPr>
      </w:pPr>
    </w:p>
    <w:sectPr w:rsidR="000323D1" w:rsidRPr="00E6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C5" w:rsidRDefault="003E06C5" w:rsidP="00E62CF8">
      <w:pPr>
        <w:spacing w:after="0" w:line="240" w:lineRule="auto"/>
      </w:pPr>
      <w:r>
        <w:separator/>
      </w:r>
    </w:p>
  </w:endnote>
  <w:endnote w:type="continuationSeparator" w:id="0">
    <w:p w:rsidR="003E06C5" w:rsidRDefault="003E06C5" w:rsidP="00E6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C5" w:rsidRDefault="003E06C5" w:rsidP="00E62CF8">
      <w:pPr>
        <w:spacing w:after="0" w:line="240" w:lineRule="auto"/>
      </w:pPr>
      <w:r>
        <w:separator/>
      </w:r>
    </w:p>
  </w:footnote>
  <w:footnote w:type="continuationSeparator" w:id="0">
    <w:p w:rsidR="003E06C5" w:rsidRDefault="003E06C5" w:rsidP="00E62CF8">
      <w:pPr>
        <w:spacing w:after="0" w:line="240" w:lineRule="auto"/>
      </w:pPr>
      <w:r>
        <w:continuationSeparator/>
      </w:r>
    </w:p>
  </w:footnote>
  <w:footnote w:id="1">
    <w:p w:rsidR="00E62CF8" w:rsidRDefault="00E62CF8" w:rsidP="00E62CF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Il s’agit du </w:t>
      </w:r>
      <w:r>
        <w:rPr>
          <w:b/>
          <w:bCs/>
          <w:color w:val="FF0000"/>
        </w:rPr>
        <w:t>règlement (UE) 2018/1971</w:t>
      </w:r>
      <w:r>
        <w:t xml:space="preserve"> du Parlement européen et du Conseil </w:t>
      </w:r>
      <w:r>
        <w:rPr>
          <w:b/>
          <w:bCs/>
          <w:color w:val="FF0000"/>
        </w:rPr>
        <w:t>du 11 décembre 2018</w:t>
      </w:r>
      <w:r>
        <w:t xml:space="preserve"> </w:t>
      </w:r>
      <w:r>
        <w:rPr>
          <w:u w:val="single"/>
        </w:rPr>
        <w:t>établissant</w:t>
      </w:r>
    </w:p>
    <w:p w:rsidR="00E62CF8" w:rsidRDefault="00E62CF8" w:rsidP="00E62CF8">
      <w:pPr>
        <w:pStyle w:val="Notedebasdepage"/>
        <w:jc w:val="both"/>
        <w:rPr>
          <w:sz w:val="16"/>
          <w:szCs w:val="16"/>
        </w:rPr>
      </w:pPr>
    </w:p>
    <w:p w:rsidR="00E62CF8" w:rsidRDefault="00E62CF8" w:rsidP="00E62CF8">
      <w:pPr>
        <w:pStyle w:val="Notedebasdepage"/>
        <w:ind w:firstLine="284"/>
        <w:jc w:val="both"/>
      </w:pPr>
      <w:r>
        <w:t>- l’Organe des régulateurs européens des communications électroniques (</w:t>
      </w:r>
      <w:r>
        <w:rPr>
          <w:b/>
          <w:bCs/>
          <w:u w:val="single"/>
        </w:rPr>
        <w:t>ORECE</w:t>
      </w:r>
      <w:r>
        <w:t>)</w:t>
      </w:r>
    </w:p>
    <w:p w:rsidR="00E62CF8" w:rsidRDefault="00E62CF8" w:rsidP="00E62CF8">
      <w:pPr>
        <w:pStyle w:val="Notedebasdepage"/>
        <w:ind w:firstLine="2268"/>
        <w:jc w:val="both"/>
      </w:pPr>
      <w:r>
        <w:t>et</w:t>
      </w:r>
    </w:p>
    <w:p w:rsidR="00E62CF8" w:rsidRDefault="00E62CF8" w:rsidP="00E62CF8">
      <w:pPr>
        <w:pStyle w:val="Notedebasdepage"/>
        <w:ind w:firstLine="284"/>
        <w:jc w:val="both"/>
      </w:pPr>
      <w:r>
        <w:t>- l’Agence de soutien à l’ORECE (</w:t>
      </w:r>
      <w:r>
        <w:rPr>
          <w:b/>
          <w:bCs/>
          <w:u w:val="single"/>
        </w:rPr>
        <w:t>Office de l’ORECE</w:t>
      </w:r>
      <w:r>
        <w:t>),</w:t>
      </w:r>
    </w:p>
    <w:p w:rsidR="00E62CF8" w:rsidRDefault="00E62CF8" w:rsidP="00E62CF8">
      <w:pPr>
        <w:pStyle w:val="Notedebasdepage"/>
        <w:jc w:val="both"/>
        <w:rPr>
          <w:sz w:val="16"/>
          <w:szCs w:val="16"/>
        </w:rPr>
      </w:pPr>
    </w:p>
    <w:p w:rsidR="00E62CF8" w:rsidRDefault="00E62CF8" w:rsidP="00E62CF8">
      <w:pPr>
        <w:pStyle w:val="Notedebasdepage"/>
        <w:jc w:val="both"/>
      </w:pPr>
      <w:r>
        <w:rPr>
          <w:u w:val="single"/>
        </w:rPr>
        <w:t>modifiant</w:t>
      </w:r>
      <w:r>
        <w:t xml:space="preserve"> le </w:t>
      </w:r>
      <w:r>
        <w:rPr>
          <w:u w:val="single"/>
        </w:rPr>
        <w:t>règlement (UE) 2015/2120</w:t>
      </w:r>
      <w:r>
        <w:t xml:space="preserve"> et </w:t>
      </w:r>
      <w:r>
        <w:rPr>
          <w:u w:val="single"/>
        </w:rPr>
        <w:t>abrogeant</w:t>
      </w:r>
      <w:r>
        <w:t xml:space="preserve"> le </w:t>
      </w:r>
      <w:r>
        <w:rPr>
          <w:u w:val="single"/>
        </w:rPr>
        <w:t>règlement (CE) n° 1211/2009</w:t>
      </w:r>
      <w:r>
        <w:t xml:space="preserve"> (ci-après : « le </w:t>
      </w:r>
      <w:r>
        <w:rPr>
          <w:u w:val="single"/>
        </w:rPr>
        <w:t>règlement ORECE</w:t>
      </w:r>
      <w:r>
        <w:t> »).</w:t>
      </w:r>
    </w:p>
    <w:p w:rsidR="00E62CF8" w:rsidRDefault="00E62CF8" w:rsidP="00E62CF8">
      <w:pPr>
        <w:pStyle w:val="Notedebasdepage"/>
        <w:jc w:val="both"/>
      </w:pPr>
    </w:p>
    <w:p w:rsidR="00E62CF8" w:rsidRDefault="00E62CF8" w:rsidP="00E62CF8">
      <w:pPr>
        <w:pStyle w:val="Notedebasdepage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CF8"/>
    <w:rsid w:val="000323D1"/>
    <w:rsid w:val="003E06C5"/>
    <w:rsid w:val="00453B0C"/>
    <w:rsid w:val="005445D9"/>
    <w:rsid w:val="00DC47FE"/>
    <w:rsid w:val="00E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0CFD89-3B10-44FB-AFAB-3881622A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2CF8"/>
    <w:pPr>
      <w:spacing w:after="0" w:line="240" w:lineRule="auto"/>
    </w:pPr>
    <w:rPr>
      <w:rFonts w:ascii="Arial" w:eastAsia="Times New Roman" w:hAnsi="Arial"/>
      <w:sz w:val="20"/>
      <w:szCs w:val="20"/>
      <w:lang w:eastAsia="fr-LU"/>
    </w:rPr>
  </w:style>
  <w:style w:type="character" w:customStyle="1" w:styleId="NotedebasdepageCar">
    <w:name w:val="Note de bas de page Car"/>
    <w:link w:val="Notedebasdepage"/>
    <w:uiPriority w:val="99"/>
    <w:semiHidden/>
    <w:rsid w:val="00E62CF8"/>
    <w:rPr>
      <w:rFonts w:ascii="Arial" w:eastAsia="Times New Roman" w:hAnsi="Arial"/>
    </w:rPr>
  </w:style>
  <w:style w:type="character" w:styleId="Appelnotedebasdep">
    <w:name w:val="footnote reference"/>
    <w:uiPriority w:val="99"/>
    <w:semiHidden/>
    <w:unhideWhenUsed/>
    <w:rsid w:val="00E62C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DP7443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7443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/sftpecos/Dossiers_parlementaires/7443/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67F6F47-7D43-4BDD-B3E5-58700053141C}"/>
</file>

<file path=customXml/itemProps2.xml><?xml version="1.0" encoding="utf-8"?>
<ds:datastoreItem xmlns:ds="http://schemas.openxmlformats.org/officeDocument/2006/customXml" ds:itemID="{D3C27325-4807-4B85-88F7-4BB985A21291}"/>
</file>

<file path=customXml/itemProps3.xml><?xml version="1.0" encoding="utf-8"?>
<ds:datastoreItem xmlns:ds="http://schemas.openxmlformats.org/officeDocument/2006/customXml" ds:itemID="{2BE8DEA6-A2CD-463E-80B6-D9E079A7D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Jean-Paul Bever</dc:creator>
  <cp:keywords/>
  <dc:description/>
  <cp:lastModifiedBy>SYSTEM</cp:lastModifiedBy>
  <cp:revision>2</cp:revision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