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Default="00053E9E" w:rsidP="00C625A8">
      <w:pPr>
        <w:autoSpaceDE w:val="0"/>
        <w:autoSpaceDN w:val="0"/>
        <w:adjustRightInd w:val="0"/>
        <w:jc w:val="center"/>
        <w:rPr>
          <w:rFonts w:ascii="Arial" w:hAnsi="Arial" w:cs="Arial"/>
          <w:b/>
          <w:lang w:eastAsia="fr-FR"/>
        </w:rPr>
      </w:pPr>
      <w:bookmarkStart w:id="0" w:name="_GoBack"/>
      <w:bookmarkEnd w:id="0"/>
      <w:r>
        <w:rPr>
          <w:rFonts w:ascii="Arial" w:hAnsi="Arial" w:cs="Arial"/>
          <w:b/>
          <w:lang w:eastAsia="fr-FR"/>
        </w:rPr>
        <w:t>7</w:t>
      </w:r>
      <w:r w:rsidR="00270AFA">
        <w:rPr>
          <w:rFonts w:ascii="Arial" w:hAnsi="Arial" w:cs="Arial"/>
          <w:b/>
          <w:lang w:eastAsia="fr-FR"/>
        </w:rPr>
        <w:t>421</w:t>
      </w:r>
    </w:p>
    <w:p w:rsidR="009553F6" w:rsidRPr="009553F6" w:rsidRDefault="009553F6" w:rsidP="00C625A8">
      <w:pPr>
        <w:autoSpaceDE w:val="0"/>
        <w:autoSpaceDN w:val="0"/>
        <w:adjustRightInd w:val="0"/>
        <w:jc w:val="center"/>
        <w:rPr>
          <w:rFonts w:ascii="Arial" w:hAnsi="Arial" w:cs="Arial"/>
          <w:lang w:eastAsia="fr-FR"/>
        </w:rPr>
      </w:pPr>
    </w:p>
    <w:p w:rsidR="00270AFA" w:rsidRPr="00270AFA" w:rsidRDefault="00270AFA" w:rsidP="00270AFA">
      <w:pPr>
        <w:autoSpaceDE w:val="0"/>
        <w:autoSpaceDN w:val="0"/>
        <w:adjustRightInd w:val="0"/>
        <w:jc w:val="center"/>
        <w:rPr>
          <w:rFonts w:ascii="Arial" w:hAnsi="Arial" w:cs="Arial"/>
          <w:b/>
          <w:bCs/>
          <w:lang w:val="fr-FR" w:eastAsia="fr-LU"/>
        </w:rPr>
      </w:pPr>
      <w:r w:rsidRPr="00270AFA">
        <w:rPr>
          <w:rFonts w:ascii="Arial" w:hAnsi="Arial" w:cs="Arial"/>
          <w:b/>
          <w:bCs/>
          <w:lang w:val="fr-FR" w:eastAsia="fr-LU"/>
        </w:rPr>
        <w:t>PROJET DE LOI</w:t>
      </w:r>
    </w:p>
    <w:p w:rsidR="00270AFA" w:rsidRPr="00270AFA" w:rsidRDefault="00270AFA" w:rsidP="00270AFA">
      <w:pPr>
        <w:autoSpaceDE w:val="0"/>
        <w:autoSpaceDN w:val="0"/>
        <w:adjustRightInd w:val="0"/>
        <w:jc w:val="center"/>
        <w:rPr>
          <w:rFonts w:ascii="Arial" w:hAnsi="Arial" w:cs="Arial"/>
          <w:b/>
          <w:bCs/>
          <w:lang w:eastAsia="fr-LU"/>
        </w:rPr>
      </w:pPr>
      <w:r w:rsidRPr="00270AFA">
        <w:rPr>
          <w:rFonts w:ascii="Arial" w:hAnsi="Arial" w:cs="Arial"/>
          <w:b/>
          <w:bCs/>
          <w:lang w:eastAsia="fr-LU"/>
        </w:rPr>
        <w:t>portant modification de :</w:t>
      </w:r>
    </w:p>
    <w:p w:rsidR="00270AFA" w:rsidRPr="00270AFA" w:rsidRDefault="00270AFA" w:rsidP="00270AFA">
      <w:pPr>
        <w:autoSpaceDE w:val="0"/>
        <w:autoSpaceDN w:val="0"/>
        <w:adjustRightInd w:val="0"/>
        <w:jc w:val="center"/>
        <w:rPr>
          <w:rFonts w:ascii="Arial" w:hAnsi="Arial" w:cs="Arial"/>
          <w:b/>
          <w:bCs/>
          <w:lang w:eastAsia="fr-LU"/>
        </w:rPr>
      </w:pPr>
      <w:r w:rsidRPr="00270AFA">
        <w:rPr>
          <w:rFonts w:ascii="Arial" w:hAnsi="Arial" w:cs="Arial"/>
          <w:b/>
          <w:bCs/>
          <w:lang w:eastAsia="fr-LU"/>
        </w:rPr>
        <w:t>1° la loi modifiée du 12 septembre 2003 relative aux personnes handicapées ;</w:t>
      </w:r>
    </w:p>
    <w:p w:rsidR="00270AFA" w:rsidRPr="00270AFA" w:rsidRDefault="00270AFA" w:rsidP="00270AFA">
      <w:pPr>
        <w:autoSpaceDE w:val="0"/>
        <w:autoSpaceDN w:val="0"/>
        <w:adjustRightInd w:val="0"/>
        <w:jc w:val="center"/>
        <w:rPr>
          <w:rFonts w:ascii="Arial" w:hAnsi="Arial" w:cs="Arial"/>
          <w:b/>
          <w:bCs/>
          <w:lang w:eastAsia="fr-LU"/>
        </w:rPr>
      </w:pPr>
      <w:r w:rsidRPr="00270AFA">
        <w:rPr>
          <w:rFonts w:ascii="Arial" w:hAnsi="Arial" w:cs="Arial"/>
          <w:b/>
          <w:bCs/>
          <w:lang w:eastAsia="fr-LU"/>
        </w:rPr>
        <w:t>2° la loi modifiée du 28 juillet 2018 relative au revenu d'inclusion sociale</w:t>
      </w:r>
    </w:p>
    <w:p w:rsidR="00270AFA" w:rsidRPr="00270AFA" w:rsidRDefault="00270AFA" w:rsidP="00270AFA">
      <w:pPr>
        <w:autoSpaceDE w:val="0"/>
        <w:autoSpaceDN w:val="0"/>
        <w:adjustRightInd w:val="0"/>
        <w:jc w:val="center"/>
        <w:rPr>
          <w:rFonts w:ascii="Arial" w:hAnsi="Arial" w:cs="Arial"/>
          <w:b/>
          <w:bCs/>
          <w:lang w:eastAsia="fr-LU"/>
        </w:rPr>
      </w:pPr>
    </w:p>
    <w:p w:rsidR="00053E9E" w:rsidRPr="00053E9E" w:rsidRDefault="00053E9E" w:rsidP="00053E9E">
      <w:pPr>
        <w:autoSpaceDE w:val="0"/>
        <w:autoSpaceDN w:val="0"/>
        <w:adjustRightInd w:val="0"/>
        <w:jc w:val="center"/>
        <w:rPr>
          <w:rFonts w:ascii="Arial" w:hAnsi="Arial" w:cs="Arial"/>
          <w:b/>
          <w:bCs/>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Le projet de loi sous</w:t>
      </w:r>
      <w:r>
        <w:rPr>
          <w:rFonts w:ascii="Arial" w:hAnsi="Arial" w:cs="Arial"/>
          <w:lang w:eastAsia="fr-LU"/>
        </w:rPr>
        <w:t xml:space="preserve"> rubrique</w:t>
      </w:r>
      <w:r w:rsidRPr="004D7FBE">
        <w:rPr>
          <w:rFonts w:ascii="Arial" w:hAnsi="Arial" w:cs="Arial"/>
          <w:lang w:eastAsia="fr-LU"/>
        </w:rPr>
        <w:t xml:space="preserve"> a pour objectif de prévenir les impacts qu’une sortie du </w:t>
      </w:r>
      <w:r>
        <w:rPr>
          <w:rFonts w:ascii="Arial" w:hAnsi="Arial" w:cs="Arial"/>
          <w:lang w:eastAsia="fr-LU"/>
        </w:rPr>
        <w:t>Royaume-Uni (R.-U.)</w:t>
      </w:r>
      <w:r w:rsidRPr="004D7FBE">
        <w:rPr>
          <w:rFonts w:ascii="Arial" w:hAnsi="Arial" w:cs="Arial"/>
          <w:lang w:eastAsia="fr-LU"/>
        </w:rPr>
        <w:t xml:space="preserve"> de l’Union européenne (UE) sans accord de retrait pourrait avoir sur la situation personnelle des ressortissants britanniques qui bénéficient, au moment dudit retrait sans accord, du </w:t>
      </w:r>
      <w:r w:rsidRPr="0014074B">
        <w:rPr>
          <w:rFonts w:ascii="Arial" w:hAnsi="Arial" w:cs="Arial"/>
          <w:b/>
          <w:lang w:eastAsia="fr-LU"/>
        </w:rPr>
        <w:t>revenu pour personnes gravement handicapées (RPGH)</w:t>
      </w:r>
      <w:r w:rsidRPr="004D7FBE">
        <w:rPr>
          <w:rFonts w:ascii="Arial" w:hAnsi="Arial" w:cs="Arial"/>
          <w:lang w:eastAsia="fr-LU"/>
        </w:rPr>
        <w:t xml:space="preserve"> ou du</w:t>
      </w:r>
      <w:r>
        <w:rPr>
          <w:rFonts w:ascii="Arial" w:hAnsi="Arial" w:cs="Arial"/>
          <w:lang w:eastAsia="fr-LU"/>
        </w:rPr>
        <w:t xml:space="preserve"> </w:t>
      </w:r>
      <w:r w:rsidRPr="0014074B">
        <w:rPr>
          <w:rFonts w:ascii="Arial" w:hAnsi="Arial" w:cs="Arial"/>
          <w:b/>
          <w:lang w:eastAsia="fr-LU"/>
        </w:rPr>
        <w:t>revenu d’inclusion sociale (R</w:t>
      </w:r>
      <w:r>
        <w:rPr>
          <w:rFonts w:ascii="Arial" w:hAnsi="Arial" w:cs="Arial"/>
          <w:b/>
          <w:lang w:eastAsia="fr-LU"/>
        </w:rPr>
        <w:t>evis</w:t>
      </w:r>
      <w:r w:rsidRPr="0014074B">
        <w:rPr>
          <w:rFonts w:ascii="Arial" w:hAnsi="Arial" w:cs="Arial"/>
          <w:b/>
          <w:lang w:eastAsia="fr-LU"/>
        </w:rPr>
        <w:t>)</w:t>
      </w:r>
      <w:r w:rsidRPr="004D7FBE">
        <w:rPr>
          <w:rFonts w:ascii="Arial" w:hAnsi="Arial" w:cs="Arial"/>
          <w:lang w:eastAsia="fr-LU"/>
        </w:rPr>
        <w:t>.</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Les dispositions transitoires dans le domaine de la lutte contre la pauvreté s’appliqueront à partir du 30 mars 2019 en cas de retrait du Royaume-Uni de Grande-Bretagne et d’</w:t>
      </w:r>
      <w:r>
        <w:rPr>
          <w:rFonts w:ascii="Arial" w:hAnsi="Arial" w:cs="Arial"/>
          <w:lang w:eastAsia="fr-LU"/>
        </w:rPr>
        <w:t>Irlande du Nord</w:t>
      </w:r>
      <w:r w:rsidRPr="004D7FBE">
        <w:rPr>
          <w:rFonts w:ascii="Arial" w:hAnsi="Arial" w:cs="Arial"/>
          <w:lang w:eastAsia="fr-LU"/>
        </w:rPr>
        <w:t xml:space="preserve"> de l’Union européenne sans qu’un accord de sortie n’ait été conclu (scénario du </w:t>
      </w:r>
      <w:r>
        <w:rPr>
          <w:rFonts w:ascii="Arial" w:hAnsi="Arial" w:cs="Arial"/>
          <w:lang w:eastAsia="fr-LU"/>
        </w:rPr>
        <w:t xml:space="preserve">« no </w:t>
      </w:r>
      <w:r w:rsidRPr="004D7FBE">
        <w:rPr>
          <w:rFonts w:ascii="Arial" w:hAnsi="Arial" w:cs="Arial"/>
          <w:lang w:eastAsia="fr-LU"/>
        </w:rPr>
        <w:t>deal</w:t>
      </w:r>
      <w:r>
        <w:rPr>
          <w:rFonts w:ascii="Arial" w:hAnsi="Arial" w:cs="Arial"/>
          <w:lang w:eastAsia="fr-LU"/>
        </w:rPr>
        <w:t> »</w:t>
      </w:r>
      <w:r w:rsidRPr="004D7FBE">
        <w:rPr>
          <w:rFonts w:ascii="Arial" w:hAnsi="Arial" w:cs="Arial"/>
          <w:lang w:eastAsia="fr-LU"/>
        </w:rPr>
        <w:t>).</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 xml:space="preserve">Conformément à l’article 50, paragraphe 2, du Traité sur l’Union européenne, l’accord de sortie devrait fixer les modalités du retrait et une période de transition du 30 mars 2019 au 31 décembre 2020. Aux termes du paragraphe 3 de l’article 50, les traités cessent d’être applicables à l’Etat concerné à partir de la date d’entrée en vigueur de l’accord de retrait ou, à défaut, deux ans après la notification visée au paragraphe 2, sauf si le Conseil européen, en accord avec l’Etat membre concerné, décide à l’unanimité de prolonger ce délai. En application à ce régime, le Royaume-Uni de Grande-Bretagne et d’Irlande du Nord devrait quitter l’UE le 29 mars 2019, que ce soit avec l’application d’un accord de sortie ou sans accord transitoire. </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 xml:space="preserve">Conscient de l’impact non négligeable sur les ressortissants britanniques séjournant au Luxembourg, le Gouvernement s’est engagé à garantir certains droits acquis aux ressortissants britanniques. Ainsi, l’accord de gouvernement 2018-2023 précise au sujet du Brexit que </w:t>
      </w:r>
      <w:r>
        <w:rPr>
          <w:rFonts w:ascii="Arial" w:hAnsi="Arial" w:cs="Arial"/>
          <w:lang w:eastAsia="fr-LU"/>
        </w:rPr>
        <w:t>« L</w:t>
      </w:r>
      <w:r w:rsidRPr="004D7FBE">
        <w:rPr>
          <w:rFonts w:ascii="Arial" w:hAnsi="Arial" w:cs="Arial"/>
          <w:lang w:eastAsia="fr-LU"/>
        </w:rPr>
        <w:t>es mesures nécessaires seront prises pour atténuer les effets secondaires non désirés, dans l’intérêt des personnes concernées et selon le principe de réciprocité.</w:t>
      </w:r>
      <w:r>
        <w:rPr>
          <w:rFonts w:ascii="Arial" w:hAnsi="Arial" w:cs="Arial"/>
          <w:lang w:eastAsia="fr-LU"/>
        </w:rPr>
        <w:t> ».</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270AFA"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Le projet de loi sous rubrique prévoit de clarifier les modalités applicables aux ressortissants britanniques qui bénéficient, au moment du retrait, des prestations prévues par</w:t>
      </w:r>
    </w:p>
    <w:p w:rsidR="00270AFA" w:rsidRPr="009C069C" w:rsidRDefault="00270AFA" w:rsidP="00270AFA">
      <w:pPr>
        <w:autoSpaceDE w:val="0"/>
        <w:autoSpaceDN w:val="0"/>
        <w:adjustRightInd w:val="0"/>
        <w:spacing w:after="0" w:line="240" w:lineRule="auto"/>
        <w:jc w:val="both"/>
        <w:rPr>
          <w:rFonts w:ascii="Arial" w:hAnsi="Arial" w:cs="Arial"/>
          <w:sz w:val="16"/>
          <w:szCs w:val="16"/>
          <w:lang w:eastAsia="fr-LU"/>
        </w:rPr>
      </w:pPr>
    </w:p>
    <w:p w:rsidR="00270AFA" w:rsidRDefault="00270AFA" w:rsidP="00270AFA">
      <w:pPr>
        <w:autoSpaceDE w:val="0"/>
        <w:autoSpaceDN w:val="0"/>
        <w:adjustRightInd w:val="0"/>
        <w:spacing w:after="0" w:line="240" w:lineRule="auto"/>
        <w:ind w:left="567"/>
        <w:jc w:val="both"/>
        <w:rPr>
          <w:rFonts w:ascii="Arial" w:hAnsi="Arial" w:cs="Arial"/>
          <w:lang w:eastAsia="fr-LU"/>
        </w:rPr>
      </w:pPr>
      <w:r>
        <w:rPr>
          <w:rFonts w:ascii="Arial" w:hAnsi="Arial" w:cs="Arial"/>
          <w:lang w:eastAsia="fr-LU"/>
        </w:rPr>
        <w:t xml:space="preserve">- </w:t>
      </w:r>
      <w:r w:rsidRPr="009C069C">
        <w:rPr>
          <w:rFonts w:ascii="Arial" w:hAnsi="Arial" w:cs="Arial"/>
          <w:lang w:eastAsia="fr-LU"/>
        </w:rPr>
        <w:t>la</w:t>
      </w:r>
      <w:r>
        <w:rPr>
          <w:rFonts w:ascii="Arial" w:hAnsi="Arial" w:cs="Arial"/>
          <w:lang w:eastAsia="fr-LU"/>
        </w:rPr>
        <w:t xml:space="preserve"> </w:t>
      </w:r>
      <w:r w:rsidRPr="009C069C">
        <w:rPr>
          <w:rFonts w:ascii="Arial" w:hAnsi="Arial" w:cs="Arial"/>
          <w:b/>
          <w:lang w:eastAsia="fr-LU"/>
        </w:rPr>
        <w:t>loi modifiée du 12 septembre 2003 relative aux personnes handicapées</w:t>
      </w:r>
      <w:r>
        <w:rPr>
          <w:rFonts w:ascii="Arial" w:hAnsi="Arial" w:cs="Arial"/>
          <w:lang w:eastAsia="fr-LU"/>
        </w:rPr>
        <w:t>,</w:t>
      </w:r>
    </w:p>
    <w:p w:rsidR="00270AFA" w:rsidRDefault="00270AFA" w:rsidP="00270AFA">
      <w:pPr>
        <w:autoSpaceDE w:val="0"/>
        <w:autoSpaceDN w:val="0"/>
        <w:adjustRightInd w:val="0"/>
        <w:spacing w:after="0" w:line="240" w:lineRule="auto"/>
        <w:ind w:left="567" w:firstLine="142"/>
        <w:jc w:val="both"/>
        <w:rPr>
          <w:rFonts w:ascii="Arial" w:hAnsi="Arial" w:cs="Arial"/>
          <w:lang w:eastAsia="fr-LU"/>
        </w:rPr>
      </w:pPr>
      <w:r w:rsidRPr="004D7FBE">
        <w:rPr>
          <w:rFonts w:ascii="Arial" w:hAnsi="Arial" w:cs="Arial"/>
          <w:lang w:eastAsia="fr-LU"/>
        </w:rPr>
        <w:t>ainsi que</w:t>
      </w:r>
    </w:p>
    <w:p w:rsidR="00270AFA" w:rsidRPr="0014074B" w:rsidRDefault="00270AFA" w:rsidP="00270AFA">
      <w:pPr>
        <w:autoSpaceDE w:val="0"/>
        <w:autoSpaceDN w:val="0"/>
        <w:adjustRightInd w:val="0"/>
        <w:spacing w:after="0" w:line="240" w:lineRule="auto"/>
        <w:ind w:left="567" w:hanging="567"/>
        <w:jc w:val="both"/>
        <w:rPr>
          <w:rFonts w:ascii="Arial" w:hAnsi="Arial" w:cs="Arial"/>
          <w:sz w:val="16"/>
          <w:szCs w:val="16"/>
          <w:lang w:eastAsia="fr-LU"/>
        </w:rPr>
      </w:pPr>
    </w:p>
    <w:p w:rsidR="00270AFA" w:rsidRDefault="00270AFA" w:rsidP="00270AFA">
      <w:pPr>
        <w:autoSpaceDE w:val="0"/>
        <w:autoSpaceDN w:val="0"/>
        <w:adjustRightInd w:val="0"/>
        <w:spacing w:after="0" w:line="240" w:lineRule="auto"/>
        <w:ind w:left="426" w:right="-284" w:firstLine="141"/>
        <w:jc w:val="both"/>
        <w:rPr>
          <w:rFonts w:ascii="Arial" w:hAnsi="Arial" w:cs="Arial"/>
          <w:lang w:eastAsia="fr-LU"/>
        </w:rPr>
      </w:pPr>
      <w:r>
        <w:rPr>
          <w:rFonts w:ascii="Arial" w:hAnsi="Arial" w:cs="Arial"/>
          <w:lang w:eastAsia="fr-LU"/>
        </w:rPr>
        <w:t xml:space="preserve">- </w:t>
      </w:r>
      <w:r w:rsidRPr="004D7FBE">
        <w:rPr>
          <w:rFonts w:ascii="Arial" w:hAnsi="Arial" w:cs="Arial"/>
          <w:lang w:eastAsia="fr-LU"/>
        </w:rPr>
        <w:t>la</w:t>
      </w:r>
      <w:r>
        <w:rPr>
          <w:rFonts w:ascii="Arial" w:hAnsi="Arial" w:cs="Arial"/>
          <w:lang w:eastAsia="fr-LU"/>
        </w:rPr>
        <w:t xml:space="preserve"> </w:t>
      </w:r>
      <w:r>
        <w:rPr>
          <w:rFonts w:ascii="Arial" w:hAnsi="Arial" w:cs="Arial"/>
          <w:b/>
          <w:lang w:eastAsia="fr-LU"/>
        </w:rPr>
        <w:t>l</w:t>
      </w:r>
      <w:r w:rsidRPr="009C069C">
        <w:rPr>
          <w:rFonts w:ascii="Arial" w:hAnsi="Arial" w:cs="Arial"/>
          <w:b/>
          <w:lang w:eastAsia="fr-LU"/>
        </w:rPr>
        <w:t>oi modifiée du 28 juillet 2018 relative au revenu d’inclusion sociale</w:t>
      </w:r>
      <w:r w:rsidRPr="004D7FBE">
        <w:rPr>
          <w:rFonts w:ascii="Arial" w:hAnsi="Arial" w:cs="Arial"/>
          <w:lang w:eastAsia="fr-LU"/>
        </w:rPr>
        <w:t>.</w:t>
      </w:r>
    </w:p>
    <w:p w:rsidR="00270AFA" w:rsidRDefault="00270AFA" w:rsidP="00270AFA">
      <w:pPr>
        <w:autoSpaceDE w:val="0"/>
        <w:autoSpaceDN w:val="0"/>
        <w:adjustRightInd w:val="0"/>
        <w:spacing w:after="0" w:line="240" w:lineRule="auto"/>
        <w:jc w:val="both"/>
        <w:rPr>
          <w:rFonts w:ascii="Arial" w:hAnsi="Arial" w:cs="Arial"/>
          <w:lang w:eastAsia="fr-LU"/>
        </w:rPr>
      </w:pPr>
    </w:p>
    <w:p w:rsidR="00270AFA"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Les conditions d’accès aux prestations visées varient en fonction de la provenance du demandeur. En effet, les tiers doivent</w:t>
      </w:r>
    </w:p>
    <w:p w:rsidR="00270AFA" w:rsidRPr="009C069C" w:rsidRDefault="00270AFA" w:rsidP="00270AFA">
      <w:pPr>
        <w:autoSpaceDE w:val="0"/>
        <w:autoSpaceDN w:val="0"/>
        <w:adjustRightInd w:val="0"/>
        <w:spacing w:after="0" w:line="240" w:lineRule="auto"/>
        <w:jc w:val="both"/>
        <w:rPr>
          <w:rFonts w:ascii="Arial" w:hAnsi="Arial" w:cs="Arial"/>
          <w:sz w:val="16"/>
          <w:szCs w:val="16"/>
          <w:lang w:eastAsia="fr-LU"/>
        </w:rPr>
      </w:pPr>
    </w:p>
    <w:p w:rsidR="00270AFA" w:rsidRDefault="00270AFA" w:rsidP="00270AFA">
      <w:pPr>
        <w:autoSpaceDE w:val="0"/>
        <w:autoSpaceDN w:val="0"/>
        <w:adjustRightInd w:val="0"/>
        <w:spacing w:after="0" w:line="240" w:lineRule="auto"/>
        <w:ind w:left="426" w:hanging="142"/>
        <w:jc w:val="both"/>
        <w:rPr>
          <w:rFonts w:ascii="Arial" w:hAnsi="Arial" w:cs="Arial"/>
          <w:lang w:eastAsia="fr-LU"/>
        </w:rPr>
      </w:pPr>
      <w:r>
        <w:rPr>
          <w:rFonts w:ascii="Arial" w:hAnsi="Arial" w:cs="Arial"/>
          <w:lang w:eastAsia="fr-LU"/>
        </w:rPr>
        <w:t xml:space="preserve">- </w:t>
      </w:r>
      <w:r w:rsidRPr="004D7FBE">
        <w:rPr>
          <w:rFonts w:ascii="Arial" w:hAnsi="Arial" w:cs="Arial"/>
          <w:lang w:eastAsia="fr-LU"/>
        </w:rPr>
        <w:t>avoir résidé au Grand-Duché de Luxembourg pendant cinq ans au moins au cours des vingt dernières années</w:t>
      </w:r>
      <w:r>
        <w:rPr>
          <w:rFonts w:ascii="Arial" w:hAnsi="Arial" w:cs="Arial"/>
          <w:lang w:eastAsia="fr-LU"/>
        </w:rPr>
        <w:t xml:space="preserve">, </w:t>
      </w:r>
      <w:r w:rsidRPr="004D7FBE">
        <w:rPr>
          <w:rFonts w:ascii="Arial" w:hAnsi="Arial" w:cs="Arial"/>
          <w:lang w:eastAsia="fr-LU"/>
        </w:rPr>
        <w:t>ou</w:t>
      </w:r>
    </w:p>
    <w:p w:rsidR="00270AFA" w:rsidRPr="009C069C" w:rsidRDefault="00270AFA" w:rsidP="00270AFA">
      <w:pPr>
        <w:autoSpaceDE w:val="0"/>
        <w:autoSpaceDN w:val="0"/>
        <w:adjustRightInd w:val="0"/>
        <w:spacing w:after="0" w:line="240" w:lineRule="auto"/>
        <w:jc w:val="both"/>
        <w:rPr>
          <w:rFonts w:ascii="Arial" w:hAnsi="Arial" w:cs="Arial"/>
          <w:sz w:val="16"/>
          <w:szCs w:val="16"/>
          <w:lang w:eastAsia="fr-LU"/>
        </w:rPr>
      </w:pPr>
    </w:p>
    <w:p w:rsidR="00270AFA" w:rsidRDefault="00270AFA" w:rsidP="00270AFA">
      <w:pPr>
        <w:autoSpaceDE w:val="0"/>
        <w:autoSpaceDN w:val="0"/>
        <w:adjustRightInd w:val="0"/>
        <w:spacing w:after="0" w:line="240" w:lineRule="auto"/>
        <w:ind w:firstLine="284"/>
        <w:jc w:val="both"/>
        <w:rPr>
          <w:rFonts w:ascii="Arial" w:hAnsi="Arial" w:cs="Arial"/>
          <w:lang w:eastAsia="fr-LU"/>
        </w:rPr>
      </w:pPr>
      <w:r>
        <w:rPr>
          <w:rFonts w:ascii="Arial" w:hAnsi="Arial" w:cs="Arial"/>
          <w:lang w:eastAsia="fr-LU"/>
        </w:rPr>
        <w:t xml:space="preserve">- </w:t>
      </w:r>
      <w:r w:rsidRPr="004D7FBE">
        <w:rPr>
          <w:rFonts w:ascii="Arial" w:hAnsi="Arial" w:cs="Arial"/>
          <w:lang w:eastAsia="fr-LU"/>
        </w:rPr>
        <w:t>disposer du statut de résident de longue durée,</w:t>
      </w:r>
    </w:p>
    <w:p w:rsidR="00270AFA" w:rsidRPr="009C069C" w:rsidRDefault="00270AFA" w:rsidP="00270AFA">
      <w:pPr>
        <w:autoSpaceDE w:val="0"/>
        <w:autoSpaceDN w:val="0"/>
        <w:adjustRightInd w:val="0"/>
        <w:spacing w:after="0" w:line="240" w:lineRule="auto"/>
        <w:jc w:val="both"/>
        <w:rPr>
          <w:rFonts w:ascii="Arial" w:hAnsi="Arial" w:cs="Arial"/>
          <w:sz w:val="16"/>
          <w:szCs w:val="16"/>
          <w:lang w:eastAsia="fr-LU"/>
        </w:rPr>
      </w:pPr>
    </w:p>
    <w:p w:rsidR="00270AFA"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 xml:space="preserve">tandis que le citoyen de l’UE et les ressortissants d’un </w:t>
      </w:r>
      <w:r>
        <w:rPr>
          <w:rFonts w:ascii="Arial" w:hAnsi="Arial" w:cs="Arial"/>
          <w:lang w:eastAsia="fr-LU"/>
        </w:rPr>
        <w:t>E</w:t>
      </w:r>
      <w:r w:rsidRPr="004D7FBE">
        <w:rPr>
          <w:rFonts w:ascii="Arial" w:hAnsi="Arial" w:cs="Arial"/>
          <w:lang w:eastAsia="fr-LU"/>
        </w:rPr>
        <w:t xml:space="preserve">tat ayant adhéré à l’Accord sur l’Espace économique européen ou de la Confédération suisse n’a pas droit au </w:t>
      </w:r>
      <w:r w:rsidRPr="0014074B">
        <w:rPr>
          <w:rFonts w:ascii="Arial" w:hAnsi="Arial" w:cs="Arial"/>
          <w:b/>
          <w:lang w:eastAsia="fr-LU"/>
        </w:rPr>
        <w:t>R</w:t>
      </w:r>
      <w:r>
        <w:rPr>
          <w:rFonts w:ascii="Arial" w:hAnsi="Arial" w:cs="Arial"/>
          <w:b/>
          <w:lang w:eastAsia="fr-LU"/>
        </w:rPr>
        <w:t>PGH</w:t>
      </w:r>
      <w:r w:rsidRPr="004D7FBE">
        <w:rPr>
          <w:rFonts w:ascii="Arial" w:hAnsi="Arial" w:cs="Arial"/>
          <w:lang w:eastAsia="fr-LU"/>
        </w:rPr>
        <w:t xml:space="preserve"> et au </w:t>
      </w:r>
      <w:r w:rsidRPr="0014074B">
        <w:rPr>
          <w:rFonts w:ascii="Arial" w:hAnsi="Arial" w:cs="Arial"/>
          <w:b/>
          <w:lang w:eastAsia="fr-LU"/>
        </w:rPr>
        <w:t>R</w:t>
      </w:r>
      <w:r>
        <w:rPr>
          <w:rFonts w:ascii="Arial" w:hAnsi="Arial" w:cs="Arial"/>
          <w:b/>
          <w:lang w:eastAsia="fr-LU"/>
        </w:rPr>
        <w:t>evis</w:t>
      </w:r>
      <w:r w:rsidRPr="004D7FBE">
        <w:rPr>
          <w:rFonts w:ascii="Arial" w:hAnsi="Arial" w:cs="Arial"/>
          <w:lang w:eastAsia="fr-LU"/>
        </w:rPr>
        <w:t xml:space="preserve"> durant les trois premiers mois de son séjour sur le territoire.</w:t>
      </w:r>
    </w:p>
    <w:p w:rsidR="00270AFA" w:rsidRDefault="00270AFA" w:rsidP="00270AFA">
      <w:pPr>
        <w:autoSpaceDE w:val="0"/>
        <w:autoSpaceDN w:val="0"/>
        <w:adjustRightInd w:val="0"/>
        <w:spacing w:after="0" w:line="240" w:lineRule="auto"/>
        <w:jc w:val="both"/>
        <w:rPr>
          <w:rFonts w:ascii="Arial" w:hAnsi="Arial" w:cs="Arial"/>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 xml:space="preserve">Rappelons que les dispositions relatives aux modalités d’accès au </w:t>
      </w:r>
      <w:r w:rsidRPr="0014074B">
        <w:rPr>
          <w:rFonts w:ascii="Arial" w:hAnsi="Arial" w:cs="Arial"/>
          <w:b/>
          <w:lang w:eastAsia="fr-LU"/>
        </w:rPr>
        <w:t>R</w:t>
      </w:r>
      <w:r>
        <w:rPr>
          <w:rFonts w:ascii="Arial" w:hAnsi="Arial" w:cs="Arial"/>
          <w:b/>
          <w:lang w:eastAsia="fr-LU"/>
        </w:rPr>
        <w:t>PGH</w:t>
      </w:r>
      <w:r w:rsidRPr="004D7FBE">
        <w:rPr>
          <w:rFonts w:ascii="Arial" w:hAnsi="Arial" w:cs="Arial"/>
          <w:lang w:eastAsia="fr-LU"/>
        </w:rPr>
        <w:t xml:space="preserve"> sont identiques à celles du </w:t>
      </w:r>
      <w:r w:rsidRPr="0014074B">
        <w:rPr>
          <w:rFonts w:ascii="Arial" w:hAnsi="Arial" w:cs="Arial"/>
          <w:b/>
          <w:lang w:eastAsia="fr-LU"/>
        </w:rPr>
        <w:t>R</w:t>
      </w:r>
      <w:r>
        <w:rPr>
          <w:rFonts w:ascii="Arial" w:hAnsi="Arial" w:cs="Arial"/>
          <w:b/>
          <w:lang w:eastAsia="fr-LU"/>
        </w:rPr>
        <w:t>evis</w:t>
      </w:r>
      <w:r w:rsidRPr="004D7FBE">
        <w:rPr>
          <w:rFonts w:ascii="Arial" w:hAnsi="Arial" w:cs="Arial"/>
          <w:lang w:eastAsia="fr-LU"/>
        </w:rPr>
        <w:t>.</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270AFA" w:rsidRPr="004D7FBE" w:rsidRDefault="00270AFA" w:rsidP="00270AFA">
      <w:pPr>
        <w:autoSpaceDE w:val="0"/>
        <w:autoSpaceDN w:val="0"/>
        <w:adjustRightInd w:val="0"/>
        <w:spacing w:after="0" w:line="240" w:lineRule="auto"/>
        <w:jc w:val="both"/>
        <w:rPr>
          <w:rFonts w:ascii="Arial" w:hAnsi="Arial" w:cs="Arial"/>
          <w:lang w:eastAsia="fr-LU"/>
        </w:rPr>
      </w:pPr>
      <w:r w:rsidRPr="004D7FBE">
        <w:rPr>
          <w:rFonts w:ascii="Arial" w:hAnsi="Arial" w:cs="Arial"/>
          <w:lang w:eastAsia="fr-LU"/>
        </w:rPr>
        <w:t xml:space="preserve">A défaut d’accord de sortie, les ressortissants britanniques résidant au Grand-Duché de Luxembourg seront considérés comme des ressortissants de pays tiers. </w:t>
      </w:r>
    </w:p>
    <w:p w:rsidR="00270AFA" w:rsidRPr="004D7FBE" w:rsidRDefault="00270AFA" w:rsidP="00270AFA">
      <w:pPr>
        <w:autoSpaceDE w:val="0"/>
        <w:autoSpaceDN w:val="0"/>
        <w:adjustRightInd w:val="0"/>
        <w:spacing w:after="0" w:line="240" w:lineRule="auto"/>
        <w:jc w:val="both"/>
        <w:rPr>
          <w:rFonts w:ascii="Arial" w:hAnsi="Arial" w:cs="Arial"/>
          <w:lang w:eastAsia="fr-LU"/>
        </w:rPr>
      </w:pPr>
    </w:p>
    <w:p w:rsidR="00C625A8" w:rsidRDefault="00270AFA" w:rsidP="00270AFA">
      <w:pPr>
        <w:jc w:val="both"/>
        <w:rPr>
          <w:rFonts w:ascii="Arial" w:hAnsi="Arial" w:cs="Arial"/>
          <w:sz w:val="24"/>
          <w:szCs w:val="20"/>
        </w:rPr>
      </w:pPr>
      <w:r w:rsidRPr="004D7FBE">
        <w:rPr>
          <w:rFonts w:ascii="Arial" w:hAnsi="Arial" w:cs="Arial"/>
          <w:lang w:eastAsia="fr-LU"/>
        </w:rPr>
        <w:t xml:space="preserve">Suite à l’entrée en vigueur du projet de loi sous rubrique, les ressortissants britanniques qui bénéficient avant le 30 mars 2019 du </w:t>
      </w:r>
      <w:r w:rsidRPr="0014074B">
        <w:rPr>
          <w:rFonts w:ascii="Arial" w:hAnsi="Arial" w:cs="Arial"/>
          <w:b/>
          <w:lang w:eastAsia="fr-LU"/>
        </w:rPr>
        <w:t>RPGH</w:t>
      </w:r>
      <w:r>
        <w:rPr>
          <w:rFonts w:ascii="Arial" w:hAnsi="Arial" w:cs="Arial"/>
          <w:b/>
          <w:lang w:eastAsia="fr-LU"/>
        </w:rPr>
        <w:t xml:space="preserve"> </w:t>
      </w:r>
      <w:r w:rsidRPr="004D7FBE">
        <w:rPr>
          <w:rFonts w:ascii="Arial" w:hAnsi="Arial" w:cs="Arial"/>
          <w:lang w:eastAsia="fr-LU"/>
        </w:rPr>
        <w:t>ou</w:t>
      </w:r>
      <w:r w:rsidRPr="00D0122D">
        <w:rPr>
          <w:rFonts w:ascii="Arial" w:hAnsi="Arial" w:cs="Arial"/>
          <w:lang w:eastAsia="fr-LU"/>
        </w:rPr>
        <w:t xml:space="preserve"> </w:t>
      </w:r>
      <w:r w:rsidRPr="004D7FBE">
        <w:rPr>
          <w:rFonts w:ascii="Arial" w:hAnsi="Arial" w:cs="Arial"/>
          <w:lang w:eastAsia="fr-LU"/>
        </w:rPr>
        <w:t xml:space="preserve">du </w:t>
      </w:r>
      <w:r w:rsidRPr="0014074B">
        <w:rPr>
          <w:rFonts w:ascii="Arial" w:hAnsi="Arial" w:cs="Arial"/>
          <w:b/>
          <w:lang w:eastAsia="fr-LU"/>
        </w:rPr>
        <w:t>R</w:t>
      </w:r>
      <w:r>
        <w:rPr>
          <w:rFonts w:ascii="Arial" w:hAnsi="Arial" w:cs="Arial"/>
          <w:b/>
          <w:lang w:eastAsia="fr-LU"/>
        </w:rPr>
        <w:t>evis</w:t>
      </w:r>
      <w:r w:rsidRPr="004D7FBE">
        <w:rPr>
          <w:rFonts w:ascii="Arial" w:hAnsi="Arial" w:cs="Arial"/>
          <w:lang w:eastAsia="fr-LU"/>
        </w:rPr>
        <w:t xml:space="preserve"> gardent leurs droits. Par contre, tous les ressortissants britanniques résidant sur le territoire du Grand-Duché de Luxembourg, qui feront une demande au </w:t>
      </w:r>
      <w:r w:rsidRPr="0014074B">
        <w:rPr>
          <w:rFonts w:ascii="Arial" w:hAnsi="Arial" w:cs="Arial"/>
          <w:b/>
          <w:lang w:eastAsia="fr-LU"/>
        </w:rPr>
        <w:t>R</w:t>
      </w:r>
      <w:r>
        <w:rPr>
          <w:rFonts w:ascii="Arial" w:hAnsi="Arial" w:cs="Arial"/>
          <w:b/>
          <w:lang w:eastAsia="fr-LU"/>
        </w:rPr>
        <w:t>PGH</w:t>
      </w:r>
      <w:r w:rsidRPr="004D7FBE">
        <w:rPr>
          <w:rFonts w:ascii="Arial" w:hAnsi="Arial" w:cs="Arial"/>
          <w:lang w:eastAsia="fr-LU"/>
        </w:rPr>
        <w:t xml:space="preserve"> ou au </w:t>
      </w:r>
      <w:r w:rsidRPr="0014074B">
        <w:rPr>
          <w:rFonts w:ascii="Arial" w:hAnsi="Arial" w:cs="Arial"/>
          <w:b/>
          <w:lang w:eastAsia="fr-LU"/>
        </w:rPr>
        <w:t>R</w:t>
      </w:r>
      <w:r>
        <w:rPr>
          <w:rFonts w:ascii="Arial" w:hAnsi="Arial" w:cs="Arial"/>
          <w:b/>
          <w:lang w:eastAsia="fr-LU"/>
        </w:rPr>
        <w:t>evis</w:t>
      </w:r>
      <w:r w:rsidRPr="004D7FBE">
        <w:rPr>
          <w:rFonts w:ascii="Arial" w:hAnsi="Arial" w:cs="Arial"/>
          <w:lang w:eastAsia="fr-LU"/>
        </w:rPr>
        <w:t xml:space="preserve"> après la date du 30 mars 2019, seront traités comme des ressortissants de pays tiers.</w:t>
      </w:r>
    </w:p>
    <w:p w:rsidR="00C625A8" w:rsidRDefault="00C625A8" w:rsidP="00C625A8">
      <w:pPr>
        <w:rPr>
          <w:rFonts w:ascii="Arial" w:hAnsi="Arial" w:cs="Arial"/>
          <w:sz w:val="24"/>
          <w:szCs w:val="20"/>
        </w:rPr>
      </w:pPr>
    </w:p>
    <w:p w:rsidR="00C625A8" w:rsidRDefault="00C625A8" w:rsidP="00C625A8">
      <w:pPr>
        <w:rPr>
          <w:rFonts w:ascii="Arial" w:hAnsi="Arial" w:cs="Arial"/>
          <w:sz w:val="24"/>
          <w:szCs w:val="20"/>
        </w:rPr>
      </w:pPr>
    </w:p>
    <w:sectPr w:rsidR="00C625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67" w:rsidRDefault="00132A67" w:rsidP="00844212">
      <w:pPr>
        <w:spacing w:after="0" w:line="240" w:lineRule="auto"/>
      </w:pPr>
      <w:r>
        <w:separator/>
      </w:r>
    </w:p>
  </w:endnote>
  <w:endnote w:type="continuationSeparator" w:id="0">
    <w:p w:rsidR="00132A67" w:rsidRDefault="00132A67"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05112E" w:rsidRPr="0005112E">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67" w:rsidRDefault="00132A67" w:rsidP="00844212">
      <w:pPr>
        <w:spacing w:after="0" w:line="240" w:lineRule="auto"/>
      </w:pPr>
      <w:r>
        <w:separator/>
      </w:r>
    </w:p>
  </w:footnote>
  <w:footnote w:type="continuationSeparator" w:id="0">
    <w:p w:rsidR="00132A67" w:rsidRDefault="00132A67" w:rsidP="00844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05112E"/>
    <w:rsid w:val="00053E9E"/>
    <w:rsid w:val="00132A67"/>
    <w:rsid w:val="001768F3"/>
    <w:rsid w:val="00270AFA"/>
    <w:rsid w:val="003C0F05"/>
    <w:rsid w:val="003F3B71"/>
    <w:rsid w:val="004619D1"/>
    <w:rsid w:val="00811E1D"/>
    <w:rsid w:val="00844212"/>
    <w:rsid w:val="00933281"/>
    <w:rsid w:val="009553F6"/>
    <w:rsid w:val="00C625A8"/>
    <w:rsid w:val="00E07557"/>
    <w:rsid w:val="00EE1F0B"/>
    <w:rsid w:val="00F80E11"/>
    <w:rsid w:val="00FF00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013F60-3245-4B25-9BA3-757576F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7A0806-1A0C-470F-A399-8354343C3BF9}"/>
</file>

<file path=customXml/itemProps2.xml><?xml version="1.0" encoding="utf-8"?>
<ds:datastoreItem xmlns:ds="http://schemas.openxmlformats.org/officeDocument/2006/customXml" ds:itemID="{B0848E67-E538-43D9-9C8F-054CEB2959A7}"/>
</file>

<file path=customXml/itemProps3.xml><?xml version="1.0" encoding="utf-8"?>
<ds:datastoreItem xmlns:ds="http://schemas.openxmlformats.org/officeDocument/2006/customXml" ds:itemID="{A2425552-61DB-49CF-A672-37BBF83A185A}"/>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