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D9" w:rsidRDefault="005D39D9">
      <w:bookmarkStart w:id="0" w:name="_GoBack"/>
      <w:bookmarkEnd w:id="0"/>
    </w:p>
    <w:p w:rsidR="002F79B6" w:rsidRPr="009237C5" w:rsidRDefault="002F79B6" w:rsidP="002F79B6">
      <w:pPr>
        <w:tabs>
          <w:tab w:val="left" w:pos="4451"/>
        </w:tabs>
        <w:autoSpaceDE w:val="0"/>
        <w:autoSpaceDN w:val="0"/>
        <w:adjustRightInd w:val="0"/>
        <w:jc w:val="center"/>
        <w:rPr>
          <w:rFonts w:cs="Arial"/>
          <w:b/>
          <w:bCs/>
          <w:sz w:val="28"/>
          <w:szCs w:val="28"/>
        </w:rPr>
      </w:pPr>
      <w:r w:rsidRPr="009237C5">
        <w:rPr>
          <w:rFonts w:cs="Arial"/>
          <w:b/>
          <w:bCs/>
          <w:sz w:val="28"/>
          <w:szCs w:val="28"/>
        </w:rPr>
        <w:t xml:space="preserve">N° </w:t>
      </w:r>
      <w:r>
        <w:rPr>
          <w:rFonts w:cs="Arial"/>
          <w:b/>
          <w:bCs/>
          <w:sz w:val="28"/>
          <w:szCs w:val="28"/>
        </w:rPr>
        <w:t>7413</w:t>
      </w:r>
    </w:p>
    <w:p w:rsidR="002F79B6" w:rsidRPr="009237C5" w:rsidRDefault="002F79B6" w:rsidP="002F79B6">
      <w:pPr>
        <w:autoSpaceDE w:val="0"/>
        <w:autoSpaceDN w:val="0"/>
        <w:adjustRightInd w:val="0"/>
        <w:jc w:val="center"/>
        <w:rPr>
          <w:rFonts w:cs="Arial"/>
          <w:b/>
          <w:bCs/>
          <w:sz w:val="16"/>
          <w:szCs w:val="16"/>
        </w:rPr>
      </w:pPr>
    </w:p>
    <w:p w:rsidR="002F79B6" w:rsidRPr="009237C5" w:rsidRDefault="002F79B6" w:rsidP="002F79B6">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2F79B6" w:rsidRPr="009237C5" w:rsidRDefault="002F79B6" w:rsidP="002F79B6">
      <w:pPr>
        <w:autoSpaceDE w:val="0"/>
        <w:autoSpaceDN w:val="0"/>
        <w:adjustRightInd w:val="0"/>
        <w:jc w:val="center"/>
        <w:rPr>
          <w:rFonts w:cs="Arial"/>
          <w:bCs/>
          <w:sz w:val="16"/>
          <w:szCs w:val="16"/>
        </w:rPr>
      </w:pPr>
    </w:p>
    <w:p w:rsidR="002F79B6" w:rsidRPr="009237C5" w:rsidRDefault="002F79B6" w:rsidP="002F79B6">
      <w:pPr>
        <w:autoSpaceDE w:val="0"/>
        <w:autoSpaceDN w:val="0"/>
        <w:adjustRightInd w:val="0"/>
        <w:jc w:val="center"/>
        <w:rPr>
          <w:rFonts w:cs="Arial"/>
          <w:bCs/>
          <w:szCs w:val="20"/>
        </w:rPr>
      </w:pPr>
      <w:r w:rsidRPr="009237C5">
        <w:rPr>
          <w:rFonts w:cs="Arial"/>
          <w:bCs/>
          <w:szCs w:val="20"/>
        </w:rPr>
        <w:t>Session ordinaire 201</w:t>
      </w:r>
      <w:r>
        <w:rPr>
          <w:rFonts w:cs="Arial"/>
          <w:bCs/>
          <w:szCs w:val="20"/>
        </w:rPr>
        <w:t>9</w:t>
      </w:r>
      <w:r w:rsidRPr="009237C5">
        <w:rPr>
          <w:rFonts w:cs="Arial"/>
          <w:bCs/>
          <w:szCs w:val="20"/>
        </w:rPr>
        <w:t>-20</w:t>
      </w:r>
      <w:r>
        <w:rPr>
          <w:rFonts w:cs="Arial"/>
          <w:bCs/>
          <w:szCs w:val="20"/>
        </w:rPr>
        <w:t>20</w:t>
      </w:r>
    </w:p>
    <w:p w:rsidR="002F79B6" w:rsidRPr="009237C5" w:rsidRDefault="002F79B6" w:rsidP="002F79B6">
      <w:pPr>
        <w:pBdr>
          <w:bottom w:val="thinThickLargeGap" w:sz="24" w:space="1" w:color="auto"/>
        </w:pBdr>
        <w:autoSpaceDE w:val="0"/>
        <w:autoSpaceDN w:val="0"/>
        <w:adjustRightInd w:val="0"/>
        <w:rPr>
          <w:rFonts w:cs="Arial"/>
          <w:b/>
          <w:bCs/>
          <w:szCs w:val="20"/>
        </w:rPr>
      </w:pPr>
    </w:p>
    <w:p w:rsidR="002F79B6" w:rsidRPr="009237C5" w:rsidRDefault="002F79B6" w:rsidP="002F79B6">
      <w:pPr>
        <w:autoSpaceDE w:val="0"/>
        <w:autoSpaceDN w:val="0"/>
        <w:adjustRightInd w:val="0"/>
        <w:rPr>
          <w:rFonts w:cs="Arial"/>
          <w:b/>
          <w:bCs/>
          <w:szCs w:val="20"/>
        </w:rPr>
      </w:pPr>
    </w:p>
    <w:p w:rsidR="002F79B6" w:rsidRPr="009237C5" w:rsidRDefault="002F79B6" w:rsidP="002F79B6">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2F79B6" w:rsidRDefault="002F79B6" w:rsidP="002F79B6">
      <w:pPr>
        <w:rPr>
          <w:rFonts w:cs="Arial"/>
          <w:b/>
          <w:bCs/>
          <w:sz w:val="22"/>
          <w:szCs w:val="22"/>
          <w:lang w:eastAsia="lb-LU"/>
        </w:rPr>
      </w:pPr>
      <w:r w:rsidRPr="003D56E6">
        <w:rPr>
          <w:rFonts w:cs="Arial"/>
          <w:b/>
          <w:bCs/>
          <w:sz w:val="22"/>
          <w:szCs w:val="22"/>
          <w:lang w:eastAsia="lb-LU"/>
        </w:rPr>
        <w:t xml:space="preserve">portant approbation </w:t>
      </w:r>
      <w:bookmarkStart w:id="1" w:name="_Hlk26524005"/>
      <w:r w:rsidRPr="003D56E6">
        <w:rPr>
          <w:rFonts w:cs="Arial"/>
          <w:b/>
          <w:bCs/>
          <w:sz w:val="22"/>
          <w:szCs w:val="22"/>
          <w:lang w:eastAsia="lb-LU"/>
        </w:rPr>
        <w:t>du Protocole entre l'Ukraine et les États Benelux (le Royaume de Belgique, le Grand-Duché de Luxembourg, le Royaume des Pays-Bas) appliquant l'Accord entre l'Union européenne et l'Ukraine relatif à la réadmission des personnes en situation irrégulière, fait à Bruxelles, le 17 décembre 2018</w:t>
      </w:r>
      <w:bookmarkEnd w:id="1"/>
    </w:p>
    <w:p w:rsidR="002F79B6" w:rsidRDefault="002F79B6" w:rsidP="002F79B6">
      <w:pPr>
        <w:rPr>
          <w:rFonts w:cs="Arial"/>
          <w:b/>
          <w:bCs/>
          <w:sz w:val="22"/>
          <w:szCs w:val="22"/>
          <w:lang w:eastAsia="lb-LU"/>
        </w:rPr>
      </w:pPr>
    </w:p>
    <w:p w:rsidR="002F79B6" w:rsidRDefault="002F79B6" w:rsidP="002F79B6">
      <w:pPr>
        <w:rPr>
          <w:rFonts w:cs="Arial"/>
          <w:b/>
          <w:bCs/>
          <w:sz w:val="22"/>
          <w:szCs w:val="22"/>
          <w:lang w:eastAsia="lb-LU"/>
        </w:rPr>
      </w:pPr>
    </w:p>
    <w:p w:rsidR="002F79B6" w:rsidRDefault="002F79B6" w:rsidP="002F79B6">
      <w:pPr>
        <w:jc w:val="center"/>
        <w:rPr>
          <w:rFonts w:cs="Arial"/>
          <w:b/>
          <w:bCs/>
          <w:sz w:val="22"/>
          <w:szCs w:val="22"/>
          <w:lang w:eastAsia="lb-LU"/>
        </w:rPr>
      </w:pPr>
      <w:r>
        <w:rPr>
          <w:rFonts w:cs="Arial"/>
          <w:b/>
          <w:bCs/>
          <w:sz w:val="22"/>
          <w:szCs w:val="22"/>
          <w:lang w:eastAsia="lb-LU"/>
        </w:rPr>
        <w:t>Résumé</w:t>
      </w:r>
    </w:p>
    <w:p w:rsidR="002F79B6" w:rsidRDefault="002F79B6" w:rsidP="002F79B6"/>
    <w:p w:rsidR="002F79B6" w:rsidRDefault="002F79B6"/>
    <w:p w:rsidR="002F79B6" w:rsidRPr="00927FB0" w:rsidRDefault="002F79B6" w:rsidP="002F79B6">
      <w:pPr>
        <w:ind w:left="70"/>
        <w:rPr>
          <w:rFonts w:eastAsia="Arial" w:cs="Arial"/>
          <w:sz w:val="22"/>
          <w:szCs w:val="20"/>
          <w:lang w:val="fr-LU" w:eastAsia="fr-LU"/>
        </w:rPr>
      </w:pPr>
      <w:r>
        <w:rPr>
          <w:rFonts w:eastAsia="Arial" w:cs="Arial"/>
          <w:sz w:val="22"/>
          <w:szCs w:val="20"/>
          <w:lang w:val="fr-LU" w:eastAsia="fr-LU"/>
        </w:rPr>
        <w:t xml:space="preserve">Le projet de loi a pour objet de </w:t>
      </w:r>
      <w:r w:rsidRPr="000941EA">
        <w:rPr>
          <w:rFonts w:eastAsia="Arial" w:cs="Arial"/>
          <w:sz w:val="22"/>
          <w:szCs w:val="20"/>
          <w:lang w:val="fr-LU" w:eastAsia="fr-LU"/>
        </w:rPr>
        <w:t>port</w:t>
      </w:r>
      <w:r>
        <w:rPr>
          <w:rFonts w:eastAsia="Arial" w:cs="Arial"/>
          <w:sz w:val="22"/>
          <w:szCs w:val="20"/>
          <w:lang w:val="fr-LU" w:eastAsia="fr-LU"/>
        </w:rPr>
        <w:t>er</w:t>
      </w:r>
      <w:r w:rsidRPr="000941EA">
        <w:rPr>
          <w:rFonts w:eastAsia="Arial" w:cs="Arial"/>
          <w:sz w:val="22"/>
          <w:szCs w:val="20"/>
          <w:lang w:val="fr-LU" w:eastAsia="fr-LU"/>
        </w:rPr>
        <w:t xml:space="preserve"> approbation </w:t>
      </w:r>
      <w:r w:rsidRPr="00927FB0">
        <w:rPr>
          <w:rFonts w:eastAsia="Arial" w:cs="Arial"/>
          <w:sz w:val="22"/>
          <w:szCs w:val="20"/>
          <w:lang w:eastAsia="fr-LU"/>
        </w:rPr>
        <w:t>du Protocole entre l'Ukraine et les États Benelux (le Royaume de Belgique, le Grand-Duché de Luxembourg, le Royaume des Pays-Bas) appliquant l'Accord entre l'Union européenne et l'Ukraine relatif à la réadmission des personnes en situation irrégulière, fait à Bruxelles, le 17 décembre 2018</w:t>
      </w:r>
      <w:r>
        <w:rPr>
          <w:rFonts w:eastAsia="Arial" w:cs="Arial"/>
          <w:sz w:val="22"/>
          <w:szCs w:val="20"/>
          <w:lang w:eastAsia="fr-LU"/>
        </w:rPr>
        <w:t>.</w:t>
      </w:r>
    </w:p>
    <w:p w:rsidR="002F79B6" w:rsidRPr="00927FB0" w:rsidRDefault="002F79B6" w:rsidP="002F79B6">
      <w:pPr>
        <w:ind w:left="70"/>
        <w:rPr>
          <w:rFonts w:eastAsia="Arial" w:cs="Arial"/>
          <w:sz w:val="22"/>
          <w:szCs w:val="20"/>
          <w:lang w:val="fr-LU" w:eastAsia="fr-LU"/>
        </w:rPr>
      </w:pPr>
    </w:p>
    <w:p w:rsidR="002F79B6" w:rsidRDefault="002F79B6" w:rsidP="002F79B6">
      <w:pPr>
        <w:ind w:left="70"/>
        <w:rPr>
          <w:rFonts w:eastAsia="Arial" w:cs="Arial"/>
          <w:sz w:val="22"/>
          <w:szCs w:val="20"/>
          <w:lang w:val="fr-LU" w:eastAsia="fr-LU"/>
        </w:rPr>
      </w:pPr>
      <w:r w:rsidRPr="000941EA">
        <w:rPr>
          <w:rFonts w:eastAsia="Arial" w:cs="Arial"/>
          <w:sz w:val="22"/>
          <w:szCs w:val="20"/>
          <w:lang w:val="fr-LU" w:eastAsia="fr-LU"/>
        </w:rPr>
        <w:t xml:space="preserve">Les Accords de réadmission admettent comme principe général que chaque </w:t>
      </w:r>
      <w:r w:rsidRPr="00621ABD">
        <w:rPr>
          <w:rFonts w:eastAsia="Arial" w:cs="Arial"/>
          <w:sz w:val="22"/>
        </w:rPr>
        <w:t>É</w:t>
      </w:r>
      <w:r w:rsidRPr="000941EA">
        <w:rPr>
          <w:rFonts w:eastAsia="Arial" w:cs="Arial"/>
          <w:sz w:val="22"/>
          <w:szCs w:val="20"/>
          <w:lang w:val="fr-LU" w:eastAsia="fr-LU"/>
        </w:rPr>
        <w:t xml:space="preserve">tat contractant réadmet sur son territoire ses propres nationaux qui se trouvent en séjour irrégulier sur le territoire d’un autre </w:t>
      </w:r>
      <w:r w:rsidRPr="00621ABD">
        <w:rPr>
          <w:rFonts w:eastAsia="Arial" w:cs="Arial"/>
          <w:sz w:val="22"/>
        </w:rPr>
        <w:t>É</w:t>
      </w:r>
      <w:r w:rsidRPr="000941EA">
        <w:rPr>
          <w:rFonts w:eastAsia="Arial" w:cs="Arial"/>
          <w:sz w:val="22"/>
          <w:szCs w:val="20"/>
          <w:lang w:val="fr-LU" w:eastAsia="fr-LU"/>
        </w:rPr>
        <w:t>tat contractant. Ainsi, un Accord de réadmission a pour objet de définir les conditions ainsi que les modalités pratiques de la procédure de réadmission. Le but recherché par cette mesure est de faciliter pour autant que possible l’émission de documents de voyage en vue du retour d’une personne en séjour irrégulier dans son pays d’origine.</w:t>
      </w:r>
      <w:r>
        <w:rPr>
          <w:rFonts w:eastAsia="Arial" w:cs="Arial"/>
          <w:sz w:val="22"/>
          <w:szCs w:val="20"/>
          <w:lang w:val="fr-LU" w:eastAsia="fr-LU"/>
        </w:rPr>
        <w:t xml:space="preserve"> </w:t>
      </w:r>
    </w:p>
    <w:p w:rsidR="002F79B6" w:rsidRPr="002F79B6" w:rsidRDefault="002F79B6">
      <w:pPr>
        <w:rPr>
          <w:lang w:val="fr-LU"/>
        </w:rPr>
      </w:pPr>
    </w:p>
    <w:sectPr w:rsidR="002F79B6" w:rsidRPr="002F79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9B6"/>
    <w:rsid w:val="002F79B6"/>
    <w:rsid w:val="005D39D9"/>
    <w:rsid w:val="006577F1"/>
    <w:rsid w:val="00B6689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EF6927-E8B6-4727-B83A-D7384800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9B6"/>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6237C1B-55ED-441A-B205-FB6AF395FC16}"/>
</file>

<file path=customXml/itemProps2.xml><?xml version="1.0" encoding="utf-8"?>
<ds:datastoreItem xmlns:ds="http://schemas.openxmlformats.org/officeDocument/2006/customXml" ds:itemID="{B8593689-9ECA-41BF-A814-B482E4C35E6A}"/>
</file>

<file path=customXml/itemProps3.xml><?xml version="1.0" encoding="utf-8"?>
<ds:datastoreItem xmlns:ds="http://schemas.openxmlformats.org/officeDocument/2006/customXml" ds:itemID="{FA39B31A-8B34-488C-9CC7-4504CC1DF422}"/>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1092</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