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2E" w:rsidRPr="00FC747F" w:rsidRDefault="0057372E" w:rsidP="0057372E">
      <w:pPr>
        <w:autoSpaceDE w:val="0"/>
        <w:autoSpaceDN w:val="0"/>
        <w:adjustRightInd w:val="0"/>
        <w:spacing w:after="40" w:line="201" w:lineRule="atLeast"/>
        <w:jc w:val="center"/>
        <w:rPr>
          <w:rFonts w:ascii="Arial" w:hAnsi="Arial" w:cs="Arial"/>
          <w:b/>
          <w:color w:val="FF0000"/>
          <w:sz w:val="28"/>
          <w:szCs w:val="28"/>
          <w:u w:val="single"/>
          <w:lang w:eastAsia="fr-LU"/>
        </w:rPr>
      </w:pPr>
      <w:bookmarkStart w:id="0" w:name="_GoBack"/>
      <w:bookmarkEnd w:id="0"/>
      <w:r w:rsidRPr="00FC747F">
        <w:rPr>
          <w:rFonts w:ascii="Arial" w:hAnsi="Arial" w:cs="Arial"/>
          <w:b/>
          <w:color w:val="FF0000"/>
          <w:sz w:val="28"/>
          <w:szCs w:val="28"/>
          <w:u w:val="single"/>
          <w:lang w:eastAsia="fr-LU"/>
        </w:rPr>
        <w:t>Synthèse du projet de loi n° 74</w:t>
      </w:r>
      <w:r w:rsidR="00821DC2" w:rsidRPr="00FC747F">
        <w:rPr>
          <w:rFonts w:ascii="Arial" w:hAnsi="Arial" w:cs="Arial"/>
          <w:b/>
          <w:color w:val="FF0000"/>
          <w:sz w:val="28"/>
          <w:szCs w:val="28"/>
          <w:u w:val="single"/>
          <w:lang w:eastAsia="fr-LU"/>
        </w:rPr>
        <w:t>03</w:t>
      </w:r>
      <w:r w:rsidRPr="00FC747F">
        <w:rPr>
          <w:rFonts w:ascii="Arial" w:hAnsi="Arial" w:cs="Arial"/>
          <w:b/>
          <w:color w:val="FF0000"/>
          <w:sz w:val="28"/>
          <w:szCs w:val="28"/>
          <w:u w:val="single"/>
          <w:lang w:eastAsia="fr-LU"/>
        </w:rPr>
        <w:t xml:space="preserve"> (PL 74</w:t>
      </w:r>
      <w:r w:rsidR="00821DC2" w:rsidRPr="00FC747F">
        <w:rPr>
          <w:rFonts w:ascii="Arial" w:hAnsi="Arial" w:cs="Arial"/>
          <w:b/>
          <w:color w:val="FF0000"/>
          <w:sz w:val="28"/>
          <w:szCs w:val="28"/>
          <w:u w:val="single"/>
          <w:lang w:eastAsia="fr-LU"/>
        </w:rPr>
        <w:t>03</w:t>
      </w:r>
      <w:r w:rsidRPr="00FC747F">
        <w:rPr>
          <w:rFonts w:ascii="Arial" w:hAnsi="Arial" w:cs="Arial"/>
          <w:b/>
          <w:color w:val="FF0000"/>
          <w:sz w:val="28"/>
          <w:szCs w:val="28"/>
          <w:u w:val="single"/>
          <w:lang w:eastAsia="fr-LU"/>
        </w:rPr>
        <w:t>)</w:t>
      </w:r>
    </w:p>
    <w:p w:rsidR="00F7120A" w:rsidRDefault="00F7120A" w:rsidP="00774AE7">
      <w:pPr>
        <w:spacing w:after="0" w:line="240" w:lineRule="auto"/>
        <w:rPr>
          <w:rFonts w:ascii="Arial" w:eastAsia="Times New Roman" w:hAnsi="Arial"/>
          <w:lang w:val="fr-FR" w:eastAsia="fr-FR"/>
        </w:rPr>
      </w:pPr>
    </w:p>
    <w:p w:rsidR="00F7120A" w:rsidRDefault="00F7120A" w:rsidP="00F7120A">
      <w:pPr>
        <w:spacing w:after="0" w:line="240" w:lineRule="auto"/>
        <w:jc w:val="center"/>
        <w:rPr>
          <w:rFonts w:ascii="Arial" w:eastAsia="Times New Roman" w:hAnsi="Arial"/>
          <w:b/>
          <w:lang w:val="fr-FR" w:eastAsia="fr-FR"/>
        </w:rPr>
      </w:pPr>
      <w:r>
        <w:rPr>
          <w:rFonts w:ascii="Arial" w:eastAsia="Times New Roman" w:hAnsi="Arial"/>
          <w:b/>
          <w:lang w:val="fr-FR" w:eastAsia="fr-FR"/>
        </w:rPr>
        <w:t>PROJET DE LOI</w:t>
      </w:r>
    </w:p>
    <w:p w:rsidR="00F7120A" w:rsidRDefault="00F7120A" w:rsidP="00F7120A">
      <w:pPr>
        <w:spacing w:after="0" w:line="240" w:lineRule="auto"/>
        <w:jc w:val="center"/>
        <w:rPr>
          <w:rFonts w:ascii="Arial" w:eastAsia="Times New Roman" w:hAnsi="Arial"/>
          <w:sz w:val="16"/>
          <w:szCs w:val="16"/>
          <w:lang w:val="fr-FR" w:eastAsia="fr-FR"/>
        </w:rPr>
      </w:pPr>
    </w:p>
    <w:p w:rsidR="00F7120A" w:rsidRDefault="00F7120A" w:rsidP="00F7120A">
      <w:pPr>
        <w:autoSpaceDE w:val="0"/>
        <w:autoSpaceDN w:val="0"/>
        <w:adjustRightInd w:val="0"/>
        <w:spacing w:after="0" w:line="240" w:lineRule="auto"/>
        <w:jc w:val="center"/>
        <w:rPr>
          <w:rFonts w:ascii="Arial" w:hAnsi="Arial" w:cs="Arial"/>
          <w:b/>
          <w:bCs/>
          <w:lang w:eastAsia="fr-LU"/>
        </w:rPr>
      </w:pPr>
      <w:r>
        <w:rPr>
          <w:rFonts w:ascii="Arial" w:hAnsi="Arial" w:cs="Arial"/>
          <w:b/>
          <w:bCs/>
          <w:lang w:eastAsia="fr-LU"/>
        </w:rPr>
        <w:t>portant création de l’Office national de l’accueil (ONA) et portant modification de :</w:t>
      </w:r>
    </w:p>
    <w:p w:rsidR="00F7120A" w:rsidRDefault="00F7120A" w:rsidP="00F7120A">
      <w:pPr>
        <w:autoSpaceDE w:val="0"/>
        <w:autoSpaceDN w:val="0"/>
        <w:adjustRightInd w:val="0"/>
        <w:spacing w:after="0" w:line="240" w:lineRule="auto"/>
        <w:jc w:val="center"/>
        <w:rPr>
          <w:rFonts w:ascii="Arial" w:hAnsi="Arial" w:cs="Arial"/>
          <w:sz w:val="16"/>
          <w:szCs w:val="16"/>
          <w:lang w:eastAsia="fr-LU"/>
        </w:rPr>
      </w:pPr>
    </w:p>
    <w:p w:rsidR="00F7120A" w:rsidRDefault="00F7120A" w:rsidP="00F7120A">
      <w:pPr>
        <w:autoSpaceDE w:val="0"/>
        <w:autoSpaceDN w:val="0"/>
        <w:adjustRightInd w:val="0"/>
        <w:spacing w:after="0" w:line="240" w:lineRule="auto"/>
        <w:jc w:val="center"/>
        <w:rPr>
          <w:rFonts w:ascii="Arial" w:hAnsi="Arial" w:cs="Arial"/>
          <w:b/>
          <w:bCs/>
          <w:lang w:eastAsia="fr-LU"/>
        </w:rPr>
      </w:pPr>
      <w:r>
        <w:rPr>
          <w:rFonts w:ascii="Arial" w:hAnsi="Arial" w:cs="Arial"/>
          <w:b/>
          <w:bCs/>
          <w:lang w:eastAsia="fr-LU"/>
        </w:rPr>
        <w:t>1° la loi modifiée du 21 septembre 2006 sur le bail à usage d’habitation et modifiant certaines dispositions du Code civil ;</w:t>
      </w:r>
    </w:p>
    <w:p w:rsidR="00F7120A" w:rsidRDefault="00F7120A" w:rsidP="00F7120A">
      <w:pPr>
        <w:autoSpaceDE w:val="0"/>
        <w:autoSpaceDN w:val="0"/>
        <w:adjustRightInd w:val="0"/>
        <w:spacing w:after="0" w:line="240" w:lineRule="auto"/>
        <w:jc w:val="center"/>
        <w:rPr>
          <w:rFonts w:ascii="Arial" w:hAnsi="Arial" w:cs="Arial"/>
          <w:sz w:val="16"/>
          <w:szCs w:val="16"/>
          <w:lang w:eastAsia="fr-LU"/>
        </w:rPr>
      </w:pPr>
    </w:p>
    <w:p w:rsidR="00F7120A" w:rsidRDefault="00F7120A" w:rsidP="00F7120A">
      <w:pPr>
        <w:autoSpaceDE w:val="0"/>
        <w:autoSpaceDN w:val="0"/>
        <w:adjustRightInd w:val="0"/>
        <w:spacing w:after="0" w:line="240" w:lineRule="auto"/>
        <w:jc w:val="center"/>
        <w:rPr>
          <w:rFonts w:ascii="Arial" w:hAnsi="Arial" w:cs="Arial"/>
          <w:b/>
          <w:bCs/>
          <w:lang w:eastAsia="fr-LU"/>
        </w:rPr>
      </w:pPr>
      <w:r>
        <w:rPr>
          <w:rFonts w:ascii="Arial" w:hAnsi="Arial" w:cs="Arial"/>
          <w:b/>
          <w:bCs/>
          <w:lang w:eastAsia="fr-LU"/>
        </w:rPr>
        <w:t>2° la loi modifiée du 16 décembre 2008 concernant l’accueil et l’intégration des étrangers au Grand-Duché de Luxembourg ;</w:t>
      </w:r>
    </w:p>
    <w:p w:rsidR="00F7120A" w:rsidRDefault="00F7120A" w:rsidP="00F7120A">
      <w:pPr>
        <w:autoSpaceDE w:val="0"/>
        <w:autoSpaceDN w:val="0"/>
        <w:adjustRightInd w:val="0"/>
        <w:spacing w:after="0" w:line="240" w:lineRule="auto"/>
        <w:jc w:val="center"/>
        <w:rPr>
          <w:rFonts w:ascii="Arial" w:hAnsi="Arial" w:cs="Arial"/>
          <w:sz w:val="16"/>
          <w:szCs w:val="16"/>
          <w:lang w:eastAsia="fr-LU"/>
        </w:rPr>
      </w:pPr>
    </w:p>
    <w:p w:rsidR="00F7120A" w:rsidRDefault="00F7120A" w:rsidP="00F7120A">
      <w:pPr>
        <w:autoSpaceDE w:val="0"/>
        <w:autoSpaceDN w:val="0"/>
        <w:adjustRightInd w:val="0"/>
        <w:spacing w:after="0" w:line="240" w:lineRule="auto"/>
        <w:jc w:val="center"/>
        <w:rPr>
          <w:rFonts w:ascii="Arial" w:hAnsi="Arial" w:cs="Arial"/>
          <w:b/>
          <w:bCs/>
          <w:lang w:eastAsia="fr-LU"/>
        </w:rPr>
      </w:pPr>
      <w:r>
        <w:rPr>
          <w:rFonts w:ascii="Arial" w:hAnsi="Arial" w:cs="Arial"/>
          <w:b/>
          <w:bCs/>
          <w:lang w:eastAsia="fr-LU"/>
        </w:rPr>
        <w:t>3° la loi modifiée du 18 décembre 2015 relative à l’accueil des demandeurs de protection internationale et de protection temporaire</w:t>
      </w:r>
    </w:p>
    <w:p w:rsidR="00F7120A" w:rsidRDefault="00F7120A" w:rsidP="00F7120A">
      <w:pPr>
        <w:spacing w:after="0" w:line="240" w:lineRule="auto"/>
        <w:jc w:val="center"/>
        <w:rPr>
          <w:rFonts w:ascii="Arial" w:eastAsia="Times New Roman" w:hAnsi="Arial"/>
          <w:lang w:val="fr-FR" w:eastAsia="fr-FR"/>
        </w:rPr>
      </w:pPr>
    </w:p>
    <w:p w:rsidR="00F7120A" w:rsidRDefault="00F7120A" w:rsidP="0057372E">
      <w:pPr>
        <w:autoSpaceDE w:val="0"/>
        <w:autoSpaceDN w:val="0"/>
        <w:adjustRightInd w:val="0"/>
        <w:spacing w:after="40" w:line="201" w:lineRule="atLeast"/>
        <w:jc w:val="both"/>
        <w:rPr>
          <w:rFonts w:ascii="Arial" w:hAnsi="Arial" w:cs="Arial"/>
          <w:color w:val="000000"/>
          <w:lang w:eastAsia="fr-LU"/>
        </w:rPr>
      </w:pPr>
    </w:p>
    <w:p w:rsidR="00F7120A" w:rsidRPr="00FC747F" w:rsidRDefault="00F7120A" w:rsidP="00F039C8">
      <w:pPr>
        <w:numPr>
          <w:ilvl w:val="0"/>
          <w:numId w:val="3"/>
        </w:numPr>
        <w:autoSpaceDE w:val="0"/>
        <w:autoSpaceDN w:val="0"/>
        <w:adjustRightInd w:val="0"/>
        <w:spacing w:after="40" w:line="201" w:lineRule="atLeast"/>
        <w:jc w:val="both"/>
        <w:rPr>
          <w:rFonts w:ascii="Arial" w:hAnsi="Arial" w:cs="Arial"/>
          <w:lang w:val="fr-FR" w:eastAsia="fr-FR"/>
        </w:rPr>
      </w:pPr>
      <w:r w:rsidRPr="00FC747F">
        <w:rPr>
          <w:rFonts w:ascii="Arial" w:hAnsi="Arial" w:cs="Arial"/>
          <w:lang w:val="fr-FR" w:eastAsia="fr-FR"/>
        </w:rPr>
        <w:t>Par la création de l’Office national de l’accueil (ONA), le présent projet de loi se propose de réorganiser l’Office luxembourgeois de l’accueil et de l’intégration (OLAI), afin de mieux répartir les compétences respectives tenant à l’accueil et à l’Intégration entre les deux ministères concernés, à savoir</w:t>
      </w:r>
      <w:r w:rsidR="00FC747F" w:rsidRPr="00FC747F">
        <w:rPr>
          <w:rFonts w:ascii="Arial" w:hAnsi="Arial" w:cs="Arial"/>
          <w:lang w:val="fr-FR" w:eastAsia="fr-FR"/>
        </w:rPr>
        <w:t> :</w:t>
      </w:r>
    </w:p>
    <w:p w:rsidR="00FC747F" w:rsidRPr="00FC747F" w:rsidRDefault="00FC747F" w:rsidP="00F7120A">
      <w:pPr>
        <w:autoSpaceDE w:val="0"/>
        <w:autoSpaceDN w:val="0"/>
        <w:adjustRightInd w:val="0"/>
        <w:spacing w:after="40" w:line="201" w:lineRule="atLeast"/>
        <w:jc w:val="both"/>
        <w:rPr>
          <w:rFonts w:ascii="Arial" w:hAnsi="Arial" w:cs="Arial"/>
          <w:sz w:val="16"/>
          <w:szCs w:val="16"/>
          <w:lang w:val="fr-FR" w:eastAsia="fr-FR"/>
        </w:rPr>
      </w:pPr>
    </w:p>
    <w:p w:rsidR="00F7120A" w:rsidRDefault="00F7120A" w:rsidP="00F039C8">
      <w:pPr>
        <w:autoSpaceDE w:val="0"/>
        <w:autoSpaceDN w:val="0"/>
        <w:adjustRightInd w:val="0"/>
        <w:spacing w:after="40" w:line="201" w:lineRule="atLeast"/>
        <w:ind w:left="1134" w:hanging="141"/>
        <w:jc w:val="both"/>
        <w:rPr>
          <w:rFonts w:ascii="Arial" w:hAnsi="Arial" w:cs="Arial"/>
          <w:lang w:val="fr-FR" w:eastAsia="fr-FR"/>
        </w:rPr>
      </w:pPr>
      <w:r>
        <w:rPr>
          <w:rFonts w:ascii="Arial" w:hAnsi="Arial" w:cs="Arial"/>
          <w:lang w:val="fr-FR" w:eastAsia="fr-FR"/>
        </w:rPr>
        <w:t>- le Ministère des Affaires</w:t>
      </w:r>
      <w:r>
        <w:rPr>
          <w:rFonts w:ascii="Arial" w:hAnsi="Arial" w:cs="Arial"/>
          <w:color w:val="000000"/>
          <w:lang w:eastAsia="fr-LU"/>
        </w:rPr>
        <w:t xml:space="preserve"> </w:t>
      </w:r>
      <w:r>
        <w:rPr>
          <w:rFonts w:ascii="Arial" w:hAnsi="Arial" w:cs="Arial"/>
          <w:lang w:val="fr-FR" w:eastAsia="fr-FR"/>
        </w:rPr>
        <w:t>étrangères et européennes (pour ce qui est du volet « accueil »)</w:t>
      </w:r>
    </w:p>
    <w:p w:rsidR="00F7120A" w:rsidRDefault="00F7120A" w:rsidP="00F039C8">
      <w:pPr>
        <w:autoSpaceDE w:val="0"/>
        <w:autoSpaceDN w:val="0"/>
        <w:adjustRightInd w:val="0"/>
        <w:spacing w:after="40" w:line="201" w:lineRule="atLeast"/>
        <w:ind w:left="567" w:firstLine="3969"/>
        <w:jc w:val="both"/>
        <w:rPr>
          <w:rFonts w:ascii="Arial" w:hAnsi="Arial" w:cs="Arial"/>
          <w:lang w:val="fr-FR" w:eastAsia="fr-FR"/>
        </w:rPr>
      </w:pPr>
      <w:r>
        <w:rPr>
          <w:rFonts w:ascii="Arial" w:hAnsi="Arial" w:cs="Arial"/>
          <w:lang w:val="fr-FR" w:eastAsia="fr-FR"/>
        </w:rPr>
        <w:t>et</w:t>
      </w:r>
    </w:p>
    <w:p w:rsidR="00F7120A" w:rsidRDefault="00F7120A" w:rsidP="00F039C8">
      <w:pPr>
        <w:autoSpaceDE w:val="0"/>
        <w:autoSpaceDN w:val="0"/>
        <w:adjustRightInd w:val="0"/>
        <w:spacing w:after="40" w:line="201" w:lineRule="atLeast"/>
        <w:ind w:left="1134" w:hanging="141"/>
        <w:jc w:val="both"/>
        <w:rPr>
          <w:rFonts w:ascii="Arial" w:hAnsi="Arial" w:cs="Arial"/>
          <w:lang w:val="fr-FR" w:eastAsia="fr-FR"/>
        </w:rPr>
      </w:pPr>
      <w:r>
        <w:rPr>
          <w:rFonts w:ascii="Arial" w:hAnsi="Arial" w:cs="Arial"/>
          <w:lang w:val="fr-FR" w:eastAsia="fr-FR"/>
        </w:rPr>
        <w:t>- le Ministère de la Famille, de l’Intégration et à la Grande Région (en ce qui concerne le volet « intégration »)</w:t>
      </w:r>
    </w:p>
    <w:p w:rsidR="00F7120A" w:rsidRDefault="00F7120A" w:rsidP="00F7120A">
      <w:pPr>
        <w:autoSpaceDE w:val="0"/>
        <w:autoSpaceDN w:val="0"/>
        <w:adjustRightInd w:val="0"/>
        <w:spacing w:after="40" w:line="201" w:lineRule="atLeast"/>
        <w:jc w:val="both"/>
        <w:rPr>
          <w:rFonts w:ascii="Arial" w:hAnsi="Arial" w:cs="Arial"/>
          <w:lang w:val="fr-FR" w:eastAsia="fr-FR"/>
        </w:rPr>
      </w:pPr>
    </w:p>
    <w:p w:rsidR="00F039C8" w:rsidRDefault="00F039C8" w:rsidP="00F7120A">
      <w:pPr>
        <w:autoSpaceDE w:val="0"/>
        <w:autoSpaceDN w:val="0"/>
        <w:adjustRightInd w:val="0"/>
        <w:spacing w:after="40" w:line="201" w:lineRule="atLeast"/>
        <w:jc w:val="both"/>
        <w:rPr>
          <w:rFonts w:ascii="Arial" w:hAnsi="Arial" w:cs="Arial"/>
          <w:lang w:val="fr-FR" w:eastAsia="fr-FR"/>
        </w:rPr>
      </w:pPr>
    </w:p>
    <w:p w:rsidR="00FC747F" w:rsidRPr="00FC747F" w:rsidRDefault="00FC747F" w:rsidP="00F039C8">
      <w:pPr>
        <w:numPr>
          <w:ilvl w:val="0"/>
          <w:numId w:val="3"/>
        </w:numPr>
        <w:autoSpaceDE w:val="0"/>
        <w:autoSpaceDN w:val="0"/>
        <w:adjustRightInd w:val="0"/>
        <w:spacing w:after="40" w:line="201" w:lineRule="atLeast"/>
        <w:jc w:val="both"/>
        <w:rPr>
          <w:rFonts w:ascii="Arial" w:hAnsi="Arial" w:cs="Arial"/>
          <w:lang w:eastAsia="fr-FR"/>
        </w:rPr>
      </w:pPr>
      <w:r>
        <w:rPr>
          <w:rFonts w:ascii="Arial" w:hAnsi="Arial" w:cs="Arial"/>
          <w:lang w:eastAsia="fr-FR"/>
        </w:rPr>
        <w:t>L’</w:t>
      </w:r>
      <w:r w:rsidRPr="00FC747F">
        <w:rPr>
          <w:rFonts w:ascii="Arial" w:hAnsi="Arial" w:cs="Arial"/>
          <w:lang w:eastAsia="fr-FR"/>
        </w:rPr>
        <w:t>ONA</w:t>
      </w:r>
      <w:r>
        <w:rPr>
          <w:rFonts w:ascii="Arial" w:hAnsi="Arial" w:cs="Arial"/>
          <w:lang w:eastAsia="fr-FR"/>
        </w:rPr>
        <w:t xml:space="preserve"> </w:t>
      </w:r>
      <w:r w:rsidRPr="00FC747F">
        <w:rPr>
          <w:rFonts w:ascii="Arial" w:hAnsi="Arial" w:cs="Arial"/>
          <w:lang w:eastAsia="fr-FR"/>
        </w:rPr>
        <w:t>succéd</w:t>
      </w:r>
      <w:r>
        <w:rPr>
          <w:rFonts w:ascii="Arial" w:hAnsi="Arial" w:cs="Arial"/>
          <w:lang w:eastAsia="fr-FR"/>
        </w:rPr>
        <w:t>era</w:t>
      </w:r>
      <w:r w:rsidRPr="00FC747F">
        <w:rPr>
          <w:rFonts w:ascii="Arial" w:hAnsi="Arial" w:cs="Arial"/>
          <w:lang w:eastAsia="fr-FR"/>
        </w:rPr>
        <w:t xml:space="preserve"> ainsi à l’OLAI</w:t>
      </w:r>
      <w:r>
        <w:rPr>
          <w:rFonts w:ascii="Arial" w:hAnsi="Arial" w:cs="Arial"/>
          <w:lang w:eastAsia="fr-FR"/>
        </w:rPr>
        <w:t xml:space="preserve">, reprenant </w:t>
      </w:r>
      <w:r w:rsidRPr="00FC747F">
        <w:rPr>
          <w:rFonts w:ascii="Arial" w:hAnsi="Arial" w:cs="Arial"/>
          <w:lang w:eastAsia="fr-FR"/>
        </w:rPr>
        <w:t xml:space="preserve">les compétences prévues par la </w:t>
      </w:r>
      <w:r w:rsidRPr="00FC747F">
        <w:rPr>
          <w:rFonts w:ascii="Arial" w:hAnsi="Arial" w:cs="Arial"/>
          <w:b/>
          <w:bCs/>
          <w:lang w:eastAsia="fr-FR"/>
        </w:rPr>
        <w:t>loi modifiée du 16 décembre 2008 concernant l’accueil et l’intégration des étrangers au Grand-Duché de Luxembourg</w:t>
      </w:r>
      <w:r w:rsidRPr="00FC747F">
        <w:rPr>
          <w:rFonts w:ascii="Arial" w:hAnsi="Arial" w:cs="Arial"/>
          <w:lang w:eastAsia="fr-FR"/>
        </w:rPr>
        <w:t xml:space="preserve"> qui n’ont pas trait à l’intégration.</w:t>
      </w:r>
      <w:r>
        <w:rPr>
          <w:rFonts w:ascii="Arial" w:hAnsi="Arial" w:cs="Arial"/>
          <w:lang w:eastAsia="fr-FR"/>
        </w:rPr>
        <w:t xml:space="preserve"> En d’autres termes : uniquement à l’accueil.</w:t>
      </w:r>
    </w:p>
    <w:p w:rsidR="00FC747F" w:rsidRDefault="00FC747F" w:rsidP="00FC747F">
      <w:pPr>
        <w:autoSpaceDE w:val="0"/>
        <w:autoSpaceDN w:val="0"/>
        <w:adjustRightInd w:val="0"/>
        <w:spacing w:after="40" w:line="201" w:lineRule="atLeast"/>
        <w:jc w:val="both"/>
        <w:rPr>
          <w:rFonts w:ascii="Arial" w:hAnsi="Arial" w:cs="Arial"/>
          <w:lang w:eastAsia="fr-FR"/>
        </w:rPr>
      </w:pPr>
    </w:p>
    <w:p w:rsidR="00F039C8" w:rsidRPr="00FC747F" w:rsidRDefault="00F039C8" w:rsidP="00FC747F">
      <w:pPr>
        <w:autoSpaceDE w:val="0"/>
        <w:autoSpaceDN w:val="0"/>
        <w:adjustRightInd w:val="0"/>
        <w:spacing w:after="40" w:line="201" w:lineRule="atLeast"/>
        <w:jc w:val="both"/>
        <w:rPr>
          <w:rFonts w:ascii="Arial" w:hAnsi="Arial" w:cs="Arial"/>
          <w:lang w:eastAsia="fr-FR"/>
        </w:rPr>
      </w:pPr>
    </w:p>
    <w:p w:rsidR="00FC747F" w:rsidRPr="00FC747F" w:rsidRDefault="00FC747F" w:rsidP="00F039C8">
      <w:pPr>
        <w:numPr>
          <w:ilvl w:val="0"/>
          <w:numId w:val="3"/>
        </w:numPr>
        <w:autoSpaceDE w:val="0"/>
        <w:autoSpaceDN w:val="0"/>
        <w:adjustRightInd w:val="0"/>
        <w:spacing w:after="40" w:line="201" w:lineRule="atLeast"/>
        <w:jc w:val="both"/>
        <w:rPr>
          <w:rFonts w:ascii="Arial" w:hAnsi="Arial" w:cs="Arial"/>
          <w:lang w:eastAsia="fr-FR"/>
        </w:rPr>
      </w:pPr>
      <w:r w:rsidRPr="00FC747F">
        <w:rPr>
          <w:rFonts w:ascii="Arial" w:hAnsi="Arial" w:cs="Arial"/>
          <w:lang w:eastAsia="fr-FR"/>
        </w:rPr>
        <w:t>Après l’entrée en vigueur de ce projet de texte, l’ONA sera rattaché au Ministère des Affaires étrangères et européennes où il figurera sous les attributions relevant des compétences du Ministre de l’Immigration et de l’Asile, tandis que le volet Intégration sera inclus au sein d’un département</w:t>
      </w:r>
      <w:r>
        <w:rPr>
          <w:rFonts w:ascii="Arial" w:hAnsi="Arial" w:cs="Arial"/>
          <w:lang w:eastAsia="fr-FR"/>
        </w:rPr>
        <w:t xml:space="preserve"> de l’Intégration</w:t>
      </w:r>
      <w:r w:rsidRPr="00FC747F">
        <w:rPr>
          <w:rFonts w:ascii="Arial" w:hAnsi="Arial" w:cs="Arial"/>
          <w:lang w:eastAsia="fr-FR"/>
        </w:rPr>
        <w:t xml:space="preserve"> du Ministère de la Famille, de l’Intégration et à la Grande Région.</w:t>
      </w:r>
    </w:p>
    <w:p w:rsidR="00FC747F" w:rsidRDefault="00FC747F" w:rsidP="00FC747F">
      <w:pPr>
        <w:autoSpaceDE w:val="0"/>
        <w:autoSpaceDN w:val="0"/>
        <w:adjustRightInd w:val="0"/>
        <w:spacing w:after="40" w:line="201" w:lineRule="atLeast"/>
        <w:jc w:val="both"/>
        <w:rPr>
          <w:rFonts w:ascii="Arial" w:hAnsi="Arial" w:cs="Arial"/>
          <w:lang w:eastAsia="fr-FR"/>
        </w:rPr>
      </w:pPr>
    </w:p>
    <w:p w:rsidR="00F039C8" w:rsidRPr="00FC747F" w:rsidRDefault="00F039C8" w:rsidP="00FC747F">
      <w:pPr>
        <w:autoSpaceDE w:val="0"/>
        <w:autoSpaceDN w:val="0"/>
        <w:adjustRightInd w:val="0"/>
        <w:spacing w:after="40" w:line="201" w:lineRule="atLeast"/>
        <w:jc w:val="both"/>
        <w:rPr>
          <w:rFonts w:ascii="Arial" w:hAnsi="Arial" w:cs="Arial"/>
          <w:lang w:eastAsia="fr-FR"/>
        </w:rPr>
      </w:pPr>
    </w:p>
    <w:p w:rsidR="00F7120A" w:rsidRPr="00FC747F" w:rsidRDefault="00FC747F" w:rsidP="00F039C8">
      <w:pPr>
        <w:numPr>
          <w:ilvl w:val="0"/>
          <w:numId w:val="3"/>
        </w:numPr>
        <w:autoSpaceDE w:val="0"/>
        <w:autoSpaceDN w:val="0"/>
        <w:adjustRightInd w:val="0"/>
        <w:spacing w:after="40" w:line="201" w:lineRule="atLeast"/>
        <w:jc w:val="both"/>
        <w:rPr>
          <w:rFonts w:ascii="Arial" w:hAnsi="Arial" w:cs="Arial"/>
          <w:lang w:eastAsia="fr-FR"/>
        </w:rPr>
      </w:pPr>
      <w:r>
        <w:rPr>
          <w:rFonts w:ascii="Arial" w:hAnsi="Arial" w:cs="Arial"/>
          <w:lang w:val="fr-FR" w:eastAsia="fr-FR"/>
        </w:rPr>
        <w:t>Au vu du nombre toujours élevé des demandeurs de protection internationale (DPI), c</w:t>
      </w:r>
      <w:proofErr w:type="spellStart"/>
      <w:r w:rsidRPr="00FC747F">
        <w:rPr>
          <w:rFonts w:ascii="Arial" w:hAnsi="Arial" w:cs="Arial"/>
          <w:lang w:eastAsia="fr-FR"/>
        </w:rPr>
        <w:t>ette</w:t>
      </w:r>
      <w:proofErr w:type="spellEnd"/>
      <w:r w:rsidRPr="00FC747F">
        <w:rPr>
          <w:rFonts w:ascii="Arial" w:hAnsi="Arial" w:cs="Arial"/>
          <w:lang w:eastAsia="fr-FR"/>
        </w:rPr>
        <w:t xml:space="preserve"> réorganisation administrative se justifie par le fait que les DPI doivent pouvoir s’adresser tout au long du traitement des demandes de protection internationale - et également pour tous les aspects de l’accueil comme l’hébergement et les autres conditions matérielles d’accueil - à un seul interlocuteur, en l’occurrence au Ministre ayant l’Immigration et l’Asile dans ses attributions.</w:t>
      </w:r>
    </w:p>
    <w:p w:rsidR="00F7120A" w:rsidRDefault="00F7120A" w:rsidP="00F7120A">
      <w:pPr>
        <w:autoSpaceDE w:val="0"/>
        <w:autoSpaceDN w:val="0"/>
        <w:adjustRightInd w:val="0"/>
        <w:spacing w:after="40" w:line="201" w:lineRule="atLeast"/>
        <w:jc w:val="both"/>
        <w:rPr>
          <w:rFonts w:ascii="Arial" w:hAnsi="Arial" w:cs="Arial"/>
          <w:lang w:val="fr-FR" w:eastAsia="fr-FR"/>
        </w:rPr>
      </w:pPr>
    </w:p>
    <w:p w:rsidR="00F039C8" w:rsidRDefault="00F039C8" w:rsidP="00F7120A">
      <w:pPr>
        <w:autoSpaceDE w:val="0"/>
        <w:autoSpaceDN w:val="0"/>
        <w:adjustRightInd w:val="0"/>
        <w:spacing w:after="40" w:line="201" w:lineRule="atLeast"/>
        <w:jc w:val="both"/>
        <w:rPr>
          <w:rFonts w:ascii="Arial" w:hAnsi="Arial" w:cs="Arial"/>
          <w:lang w:val="fr-FR" w:eastAsia="fr-FR"/>
        </w:rPr>
      </w:pPr>
    </w:p>
    <w:p w:rsidR="00FC747F" w:rsidRDefault="00FC747F" w:rsidP="00F039C8">
      <w:pPr>
        <w:numPr>
          <w:ilvl w:val="0"/>
          <w:numId w:val="3"/>
        </w:numPr>
        <w:spacing w:line="240" w:lineRule="auto"/>
        <w:jc w:val="both"/>
        <w:rPr>
          <w:rFonts w:ascii="Arial" w:hAnsi="Arial" w:cs="Arial"/>
          <w:lang w:val="fr-CH" w:eastAsia="fr-FR"/>
        </w:rPr>
      </w:pPr>
      <w:r>
        <w:rPr>
          <w:rFonts w:ascii="Arial" w:hAnsi="Arial" w:cs="Arial"/>
          <w:lang w:val="fr-FR" w:eastAsia="fr-FR"/>
        </w:rPr>
        <w:t>Au niveau de l’accueil, c</w:t>
      </w:r>
      <w:proofErr w:type="spellStart"/>
      <w:r>
        <w:rPr>
          <w:rFonts w:ascii="Arial" w:hAnsi="Arial" w:cs="Arial"/>
          <w:lang w:val="fr-CH" w:eastAsia="fr-FR"/>
        </w:rPr>
        <w:t>ette</w:t>
      </w:r>
      <w:proofErr w:type="spellEnd"/>
      <w:r>
        <w:rPr>
          <w:rFonts w:ascii="Arial" w:hAnsi="Arial" w:cs="Arial"/>
          <w:lang w:val="fr-CH" w:eastAsia="fr-FR"/>
        </w:rPr>
        <w:t xml:space="preserve"> réorganisation administrative contribuera notamment à :</w:t>
      </w:r>
    </w:p>
    <w:p w:rsidR="00FC747F" w:rsidRDefault="00FC747F" w:rsidP="00F039C8">
      <w:pPr>
        <w:spacing w:line="240" w:lineRule="auto"/>
        <w:ind w:firstLine="993"/>
        <w:jc w:val="both"/>
        <w:rPr>
          <w:rFonts w:ascii="Arial" w:hAnsi="Arial" w:cs="Arial"/>
          <w:lang w:val="fr-CH" w:eastAsia="fr-FR"/>
        </w:rPr>
      </w:pPr>
      <w:r>
        <w:rPr>
          <w:rFonts w:ascii="Arial" w:hAnsi="Arial" w:cs="Arial"/>
          <w:lang w:val="fr-CH" w:eastAsia="fr-FR"/>
        </w:rPr>
        <w:t>- augmenter la capacité et la qualité du réseau d’hébergement,</w:t>
      </w:r>
    </w:p>
    <w:p w:rsidR="00FC747F" w:rsidRDefault="00FC747F" w:rsidP="00F039C8">
      <w:pPr>
        <w:spacing w:line="240" w:lineRule="auto"/>
        <w:ind w:left="1134" w:hanging="141"/>
        <w:jc w:val="both"/>
        <w:rPr>
          <w:rFonts w:ascii="Arial" w:hAnsi="Arial" w:cs="Arial"/>
          <w:lang w:val="fr-CH" w:eastAsia="fr-FR"/>
        </w:rPr>
      </w:pPr>
      <w:r>
        <w:rPr>
          <w:rFonts w:ascii="Arial" w:hAnsi="Arial" w:cs="Arial"/>
          <w:lang w:val="fr-CH" w:eastAsia="fr-FR"/>
        </w:rPr>
        <w:lastRenderedPageBreak/>
        <w:t>- créer les structures adéquates pour l’encadrement de personnes nécessitant une protection spéciale, comme les mineurs non accompagnés, et</w:t>
      </w:r>
    </w:p>
    <w:p w:rsidR="00FC747F" w:rsidRDefault="00FC747F" w:rsidP="00F039C8">
      <w:pPr>
        <w:pStyle w:val="Paragraphedeliste"/>
        <w:spacing w:line="240" w:lineRule="auto"/>
        <w:ind w:left="1134" w:hanging="141"/>
        <w:jc w:val="both"/>
        <w:rPr>
          <w:rFonts w:ascii="Arial" w:hAnsi="Arial" w:cs="Arial"/>
          <w:lang w:val="fr-CH" w:eastAsia="fr-FR"/>
        </w:rPr>
      </w:pPr>
      <w:r>
        <w:rPr>
          <w:rFonts w:ascii="Arial" w:hAnsi="Arial" w:cs="Arial"/>
          <w:lang w:val="fr-CH" w:eastAsia="fr-FR"/>
        </w:rPr>
        <w:t>- prendre les mesures nécessaires conduisant à une plus grande autonomisation des réfugiés.</w:t>
      </w:r>
    </w:p>
    <w:p w:rsidR="00F039C8" w:rsidRDefault="00F039C8" w:rsidP="00F039C8">
      <w:pPr>
        <w:spacing w:after="0" w:line="240" w:lineRule="auto"/>
        <w:jc w:val="both"/>
        <w:rPr>
          <w:rFonts w:ascii="Arial" w:hAnsi="Arial" w:cs="Arial"/>
          <w:lang w:val="fr-FR" w:eastAsia="fr-FR"/>
        </w:rPr>
      </w:pPr>
    </w:p>
    <w:p w:rsidR="00F039C8" w:rsidRDefault="00F039C8" w:rsidP="00F039C8">
      <w:pPr>
        <w:spacing w:after="0" w:line="240" w:lineRule="auto"/>
        <w:jc w:val="both"/>
        <w:rPr>
          <w:rFonts w:ascii="Arial" w:hAnsi="Arial" w:cs="Arial"/>
          <w:lang w:val="fr-FR" w:eastAsia="fr-FR"/>
        </w:rPr>
      </w:pPr>
    </w:p>
    <w:p w:rsidR="00F039C8" w:rsidRDefault="00F039C8" w:rsidP="00F039C8">
      <w:pPr>
        <w:numPr>
          <w:ilvl w:val="0"/>
          <w:numId w:val="4"/>
        </w:numPr>
        <w:spacing w:after="0" w:line="240" w:lineRule="auto"/>
        <w:jc w:val="both"/>
        <w:rPr>
          <w:rFonts w:ascii="Arial" w:hAnsi="Arial" w:cs="Arial"/>
          <w:lang w:val="fr-FR" w:eastAsia="fr-FR"/>
        </w:rPr>
      </w:pPr>
      <w:r>
        <w:rPr>
          <w:rFonts w:ascii="Arial" w:hAnsi="Arial" w:cs="Arial"/>
          <w:lang w:val="fr-FR" w:eastAsia="fr-FR"/>
        </w:rPr>
        <w:t xml:space="preserve">Le PL 7403 trace un cadre bien défini pour les </w:t>
      </w:r>
      <w:r w:rsidRPr="00F039C8">
        <w:rPr>
          <w:rFonts w:ascii="Arial" w:hAnsi="Arial" w:cs="Arial"/>
          <w:u w:val="single"/>
          <w:lang w:val="fr-FR" w:eastAsia="fr-FR"/>
        </w:rPr>
        <w:t>aides ponctuelles</w:t>
      </w:r>
      <w:r>
        <w:rPr>
          <w:rFonts w:ascii="Arial" w:hAnsi="Arial" w:cs="Arial"/>
          <w:lang w:val="fr-FR" w:eastAsia="fr-FR"/>
        </w:rPr>
        <w:t xml:space="preserve"> que le nouvel ONA pourra accorder dans des cas exceptionnels. Le </w:t>
      </w:r>
      <w:r w:rsidRPr="00F039C8">
        <w:rPr>
          <w:rFonts w:ascii="Arial" w:hAnsi="Arial" w:cs="Arial"/>
          <w:u w:val="single"/>
          <w:lang w:val="fr-FR" w:eastAsia="fr-FR"/>
        </w:rPr>
        <w:t>soutien ponctuel</w:t>
      </w:r>
      <w:r>
        <w:rPr>
          <w:rFonts w:ascii="Arial" w:hAnsi="Arial" w:cs="Arial"/>
          <w:lang w:val="fr-FR" w:eastAsia="fr-FR"/>
        </w:rPr>
        <w:t xml:space="preserve"> devra maintenant être motivé par des raisons tenant à la situation familiale, humanitaire ou de santé et couvrira, par exemple les frais médicaux, l’achat de matériel scolaire, les frais de formation ou l’achat de produits d’hygiène. </w:t>
      </w:r>
    </w:p>
    <w:p w:rsidR="00F039C8" w:rsidRDefault="00F039C8" w:rsidP="00F039C8">
      <w:pPr>
        <w:spacing w:after="0" w:line="240" w:lineRule="auto"/>
        <w:jc w:val="both"/>
        <w:rPr>
          <w:rFonts w:ascii="Arial" w:hAnsi="Arial" w:cs="Arial"/>
          <w:lang w:val="fr-FR" w:eastAsia="fr-FR"/>
        </w:rPr>
      </w:pPr>
    </w:p>
    <w:p w:rsidR="00F039C8" w:rsidRDefault="00F039C8" w:rsidP="00F039C8">
      <w:pPr>
        <w:spacing w:after="0" w:line="240" w:lineRule="auto"/>
        <w:jc w:val="both"/>
        <w:rPr>
          <w:rFonts w:ascii="Arial" w:hAnsi="Arial" w:cs="Arial"/>
          <w:lang w:val="fr-FR" w:eastAsia="fr-FR"/>
        </w:rPr>
      </w:pPr>
    </w:p>
    <w:p w:rsidR="00F039C8" w:rsidRDefault="00F039C8" w:rsidP="00F039C8">
      <w:pPr>
        <w:numPr>
          <w:ilvl w:val="0"/>
          <w:numId w:val="4"/>
        </w:numPr>
        <w:spacing w:after="0" w:line="240" w:lineRule="auto"/>
        <w:jc w:val="both"/>
        <w:rPr>
          <w:rFonts w:ascii="Arial" w:hAnsi="Arial" w:cs="Arial"/>
          <w:lang w:val="fr-FR" w:eastAsia="fr-FR"/>
        </w:rPr>
      </w:pPr>
      <w:r>
        <w:rPr>
          <w:rFonts w:ascii="Arial" w:hAnsi="Arial" w:cs="Arial"/>
          <w:lang w:val="fr-FR" w:eastAsia="fr-FR"/>
        </w:rPr>
        <w:t xml:space="preserve">Dans le même contexte, le PL 7403 prévoit des règles très précises dans le cadre des </w:t>
      </w:r>
      <w:r w:rsidRPr="00F039C8">
        <w:rPr>
          <w:rFonts w:ascii="Arial" w:hAnsi="Arial" w:cs="Arial"/>
          <w:u w:val="single"/>
          <w:lang w:val="fr-FR" w:eastAsia="fr-FR"/>
        </w:rPr>
        <w:t>subsides</w:t>
      </w:r>
      <w:r>
        <w:rPr>
          <w:rFonts w:ascii="Arial" w:hAnsi="Arial" w:cs="Arial"/>
          <w:lang w:val="fr-FR" w:eastAsia="fr-FR"/>
        </w:rPr>
        <w:t xml:space="preserve"> ou des </w:t>
      </w:r>
      <w:r w:rsidRPr="00F039C8">
        <w:rPr>
          <w:rFonts w:ascii="Arial" w:hAnsi="Arial" w:cs="Arial"/>
          <w:u w:val="single"/>
          <w:lang w:val="fr-FR" w:eastAsia="fr-FR"/>
        </w:rPr>
        <w:t>participations financières</w:t>
      </w:r>
      <w:r>
        <w:rPr>
          <w:rFonts w:ascii="Arial" w:hAnsi="Arial" w:cs="Arial"/>
          <w:lang w:val="fr-FR" w:eastAsia="fr-FR"/>
        </w:rPr>
        <w:t xml:space="preserve"> que le Gouvernement pourra accorder, en fonction des moyens budgétaires disponibles, aux communes et à des organismes pour la réalisation des missions en matière d’accueil et d’intégration.  </w:t>
      </w:r>
    </w:p>
    <w:p w:rsidR="00F039C8" w:rsidRDefault="00F039C8" w:rsidP="00F039C8">
      <w:pPr>
        <w:spacing w:after="0" w:line="240" w:lineRule="auto"/>
        <w:jc w:val="both"/>
        <w:rPr>
          <w:rFonts w:ascii="Arial" w:hAnsi="Arial" w:cs="Arial"/>
          <w:lang w:val="fr-FR" w:eastAsia="fr-FR"/>
        </w:rPr>
      </w:pPr>
    </w:p>
    <w:p w:rsidR="00F039C8" w:rsidRDefault="00F039C8" w:rsidP="00F039C8">
      <w:pPr>
        <w:spacing w:after="0" w:line="240" w:lineRule="auto"/>
        <w:ind w:firstLine="709"/>
        <w:jc w:val="both"/>
        <w:rPr>
          <w:rFonts w:ascii="Arial" w:hAnsi="Arial" w:cs="Arial"/>
          <w:lang w:val="fr-FR" w:eastAsia="fr-FR"/>
        </w:rPr>
      </w:pPr>
      <w:r>
        <w:rPr>
          <w:rFonts w:ascii="Arial" w:hAnsi="Arial" w:cs="Arial"/>
          <w:lang w:val="fr-FR" w:eastAsia="fr-FR"/>
        </w:rPr>
        <w:t xml:space="preserve">Afin d’obtenir </w:t>
      </w:r>
      <w:r w:rsidRPr="00F039C8">
        <w:rPr>
          <w:rFonts w:ascii="Arial" w:hAnsi="Arial" w:cs="Arial"/>
          <w:u w:val="single"/>
          <w:lang w:val="fr-FR" w:eastAsia="fr-FR"/>
        </w:rPr>
        <w:t>un subside</w:t>
      </w:r>
      <w:r>
        <w:rPr>
          <w:rFonts w:ascii="Arial" w:hAnsi="Arial" w:cs="Arial"/>
          <w:lang w:val="fr-FR" w:eastAsia="fr-FR"/>
        </w:rPr>
        <w:t>, les conditions suivantes doivent être remplies :</w:t>
      </w:r>
    </w:p>
    <w:p w:rsidR="00F039C8" w:rsidRDefault="00F039C8" w:rsidP="00F039C8">
      <w:pPr>
        <w:pStyle w:val="Paragraphedeliste"/>
        <w:spacing w:after="0" w:line="240" w:lineRule="auto"/>
        <w:ind w:left="993"/>
        <w:jc w:val="both"/>
        <w:rPr>
          <w:rFonts w:ascii="Arial" w:hAnsi="Arial" w:cs="Arial"/>
          <w:lang w:val="fr-FR" w:eastAsia="fr-FR"/>
        </w:rPr>
      </w:pPr>
      <w:r>
        <w:rPr>
          <w:rFonts w:ascii="Arial" w:hAnsi="Arial" w:cs="Arial"/>
          <w:lang w:val="fr-FR" w:eastAsia="fr-FR"/>
        </w:rPr>
        <w:t>- le montant ne peut dépasser 100 000 € et 75 % du coût total du projet ;</w:t>
      </w:r>
    </w:p>
    <w:p w:rsidR="00FC747F"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avant la réalisation du projet, une demande doit être adressée au ministre, comprenant une estimation du coût total.</w:t>
      </w:r>
    </w:p>
    <w:p w:rsidR="00F039C8" w:rsidRDefault="00F039C8" w:rsidP="00F039C8">
      <w:pPr>
        <w:pStyle w:val="Paragraphedeliste"/>
        <w:spacing w:after="0" w:line="240" w:lineRule="auto"/>
        <w:ind w:left="993"/>
        <w:jc w:val="both"/>
        <w:rPr>
          <w:rFonts w:ascii="Arial" w:hAnsi="Arial" w:cs="Arial"/>
          <w:lang w:val="fr-FR" w:eastAsia="fr-FR"/>
        </w:rPr>
      </w:pPr>
      <w:r>
        <w:rPr>
          <w:rFonts w:ascii="Arial" w:hAnsi="Arial" w:cs="Arial"/>
          <w:lang w:val="fr-FR" w:eastAsia="fr-FR"/>
        </w:rPr>
        <w:t>- le suivi et l’évaluation du projet doivent être garantis par le bénéficiaire.</w:t>
      </w:r>
    </w:p>
    <w:p w:rsidR="00F039C8" w:rsidRDefault="00F039C8" w:rsidP="00F039C8">
      <w:pPr>
        <w:spacing w:after="0" w:line="240" w:lineRule="auto"/>
        <w:jc w:val="both"/>
        <w:rPr>
          <w:rFonts w:ascii="Arial" w:hAnsi="Arial" w:cs="Arial"/>
          <w:lang w:val="fr-FR" w:eastAsia="fr-FR"/>
        </w:rPr>
      </w:pPr>
    </w:p>
    <w:p w:rsidR="00F039C8" w:rsidRDefault="00F039C8" w:rsidP="00F039C8">
      <w:pPr>
        <w:spacing w:after="0" w:line="240" w:lineRule="auto"/>
        <w:ind w:left="709"/>
        <w:jc w:val="both"/>
        <w:rPr>
          <w:rFonts w:ascii="Arial" w:hAnsi="Arial" w:cs="Arial"/>
          <w:lang w:val="fr-FR" w:eastAsia="fr-FR"/>
        </w:rPr>
      </w:pPr>
      <w:r w:rsidRPr="00F039C8">
        <w:rPr>
          <w:rFonts w:ascii="Arial" w:hAnsi="Arial" w:cs="Arial"/>
          <w:u w:val="single"/>
          <w:lang w:val="fr-FR" w:eastAsia="fr-FR"/>
        </w:rPr>
        <w:t>Une participation financière</w:t>
      </w:r>
      <w:r>
        <w:rPr>
          <w:rFonts w:ascii="Arial" w:hAnsi="Arial" w:cs="Arial"/>
          <w:lang w:val="fr-FR" w:eastAsia="fr-FR"/>
        </w:rPr>
        <w:t xml:space="preserve"> nécessite une convention, signée entre le bénéficiaire et l’Etat, qui détermine :</w:t>
      </w:r>
    </w:p>
    <w:p w:rsidR="00F039C8" w:rsidRDefault="00F039C8" w:rsidP="00F039C8">
      <w:pPr>
        <w:pStyle w:val="Paragraphedeliste"/>
        <w:spacing w:after="0" w:line="240" w:lineRule="auto"/>
        <w:ind w:left="993"/>
        <w:jc w:val="both"/>
        <w:rPr>
          <w:rFonts w:ascii="Arial" w:hAnsi="Arial" w:cs="Arial"/>
          <w:lang w:val="fr-FR" w:eastAsia="fr-FR"/>
        </w:rPr>
      </w:pPr>
      <w:r>
        <w:rPr>
          <w:rFonts w:ascii="Arial" w:hAnsi="Arial" w:cs="Arial"/>
          <w:lang w:val="fr-FR" w:eastAsia="fr-FR"/>
        </w:rPr>
        <w:t>- les prestations à fournir par le bénéficiaire ;</w:t>
      </w:r>
    </w:p>
    <w:p w:rsidR="00F039C8" w:rsidRDefault="00F039C8" w:rsidP="00F039C8">
      <w:pPr>
        <w:pStyle w:val="Paragraphedeliste"/>
        <w:spacing w:after="0" w:line="240" w:lineRule="auto"/>
        <w:ind w:left="993"/>
        <w:jc w:val="both"/>
        <w:rPr>
          <w:rFonts w:ascii="Arial" w:hAnsi="Arial" w:cs="Arial"/>
          <w:lang w:val="fr-FR" w:eastAsia="fr-FR"/>
        </w:rPr>
      </w:pPr>
      <w:r>
        <w:rPr>
          <w:rFonts w:ascii="Arial" w:hAnsi="Arial" w:cs="Arial"/>
          <w:lang w:val="fr-FR" w:eastAsia="fr-FR"/>
        </w:rPr>
        <w:t>- le type de la participation financière ;</w:t>
      </w:r>
    </w:p>
    <w:p w:rsidR="00F039C8"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les modalités de coopération entre les parties contractantes, sauf la gestion qui est de la responsabilité du bénéficiaire.</w:t>
      </w:r>
    </w:p>
    <w:p w:rsidR="00F039C8" w:rsidRDefault="00F039C8" w:rsidP="00F039C8">
      <w:pPr>
        <w:spacing w:after="0" w:line="240" w:lineRule="auto"/>
        <w:jc w:val="both"/>
        <w:rPr>
          <w:rFonts w:ascii="Arial" w:hAnsi="Arial" w:cs="Arial"/>
          <w:lang w:val="fr-FR" w:eastAsia="fr-FR"/>
        </w:rPr>
      </w:pPr>
    </w:p>
    <w:p w:rsidR="00F039C8" w:rsidRDefault="00F039C8" w:rsidP="00F039C8">
      <w:pPr>
        <w:spacing w:after="0" w:line="240" w:lineRule="auto"/>
        <w:ind w:firstLine="709"/>
        <w:jc w:val="both"/>
        <w:rPr>
          <w:rFonts w:ascii="Arial" w:hAnsi="Arial" w:cs="Arial"/>
          <w:lang w:val="fr-FR" w:eastAsia="fr-FR"/>
        </w:rPr>
      </w:pPr>
      <w:r>
        <w:rPr>
          <w:rFonts w:ascii="Arial" w:hAnsi="Arial" w:cs="Arial"/>
          <w:lang w:val="fr-FR" w:eastAsia="fr-FR"/>
        </w:rPr>
        <w:t xml:space="preserve">Les </w:t>
      </w:r>
      <w:r w:rsidRPr="00F039C8">
        <w:rPr>
          <w:rFonts w:ascii="Arial" w:hAnsi="Arial" w:cs="Arial"/>
          <w:u w:val="single"/>
          <w:lang w:val="fr-FR" w:eastAsia="fr-FR"/>
        </w:rPr>
        <w:t>aides accordées par le Gouvernement</w:t>
      </w:r>
      <w:r>
        <w:rPr>
          <w:rFonts w:ascii="Arial" w:hAnsi="Arial" w:cs="Arial"/>
          <w:lang w:val="fr-FR" w:eastAsia="fr-FR"/>
        </w:rPr>
        <w:t xml:space="preserve"> peuvent couvrir les dépenses suivantes :</w:t>
      </w:r>
    </w:p>
    <w:p w:rsidR="00F039C8" w:rsidRDefault="00F039C8" w:rsidP="00F039C8">
      <w:pPr>
        <w:pStyle w:val="Paragraphedeliste"/>
        <w:spacing w:after="0" w:line="240" w:lineRule="auto"/>
        <w:ind w:firstLine="273"/>
        <w:jc w:val="both"/>
        <w:rPr>
          <w:rFonts w:ascii="Arial" w:hAnsi="Arial" w:cs="Arial"/>
          <w:lang w:val="fr-FR" w:eastAsia="fr-FR"/>
        </w:rPr>
      </w:pPr>
      <w:r>
        <w:rPr>
          <w:rFonts w:ascii="Arial" w:hAnsi="Arial" w:cs="Arial"/>
          <w:lang w:val="fr-FR" w:eastAsia="fr-FR"/>
        </w:rPr>
        <w:t>- les frais courants d’entretien et de gestion ;</w:t>
      </w:r>
    </w:p>
    <w:p w:rsidR="00F039C8" w:rsidRDefault="00F039C8" w:rsidP="00F039C8">
      <w:pPr>
        <w:pStyle w:val="Paragraphedeliste"/>
        <w:spacing w:after="0" w:line="240" w:lineRule="auto"/>
        <w:ind w:firstLine="273"/>
        <w:jc w:val="both"/>
        <w:rPr>
          <w:rFonts w:ascii="Arial" w:hAnsi="Arial" w:cs="Arial"/>
          <w:lang w:val="fr-FR" w:eastAsia="fr-FR"/>
        </w:rPr>
      </w:pPr>
      <w:r>
        <w:rPr>
          <w:rFonts w:ascii="Arial" w:hAnsi="Arial" w:cs="Arial"/>
          <w:lang w:val="fr-FR" w:eastAsia="fr-FR"/>
        </w:rPr>
        <w:t>- les dépenses de personnel ;</w:t>
      </w:r>
    </w:p>
    <w:p w:rsidR="00F039C8" w:rsidRDefault="00F039C8" w:rsidP="00F039C8">
      <w:pPr>
        <w:pStyle w:val="Paragraphedeliste"/>
        <w:spacing w:after="0" w:line="240" w:lineRule="auto"/>
        <w:ind w:firstLine="273"/>
        <w:jc w:val="both"/>
        <w:rPr>
          <w:rFonts w:ascii="Arial" w:hAnsi="Arial" w:cs="Arial"/>
          <w:lang w:val="fr-FR" w:eastAsia="fr-FR"/>
        </w:rPr>
      </w:pPr>
      <w:r>
        <w:rPr>
          <w:rFonts w:ascii="Arial" w:hAnsi="Arial" w:cs="Arial"/>
          <w:lang w:val="fr-FR" w:eastAsia="fr-FR"/>
        </w:rPr>
        <w:t>- les frais résultant de collaborateurs occasionnels ou bénévoles ;</w:t>
      </w:r>
    </w:p>
    <w:p w:rsidR="00F039C8"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les frais en relation avec le louage, l’entretien et la réparation des bâtiments et l’équipement mobilier ;</w:t>
      </w:r>
    </w:p>
    <w:p w:rsidR="00F039C8" w:rsidRDefault="00F039C8" w:rsidP="00F039C8">
      <w:pPr>
        <w:pStyle w:val="Paragraphedeliste"/>
        <w:spacing w:after="0" w:line="240" w:lineRule="auto"/>
        <w:ind w:firstLine="273"/>
        <w:jc w:val="both"/>
        <w:rPr>
          <w:rFonts w:ascii="Arial" w:hAnsi="Arial" w:cs="Arial"/>
          <w:lang w:val="fr-FR" w:eastAsia="fr-FR"/>
        </w:rPr>
      </w:pPr>
      <w:r>
        <w:rPr>
          <w:rFonts w:ascii="Arial" w:hAnsi="Arial" w:cs="Arial"/>
          <w:lang w:val="fr-FR" w:eastAsia="fr-FR"/>
        </w:rPr>
        <w:t>- les frais résultant des prestations spécifiques fournies par le bénéficiaire.</w:t>
      </w:r>
    </w:p>
    <w:p w:rsidR="00F039C8" w:rsidRDefault="00F039C8" w:rsidP="00F039C8">
      <w:pPr>
        <w:spacing w:after="0" w:line="240" w:lineRule="auto"/>
        <w:jc w:val="both"/>
        <w:rPr>
          <w:rFonts w:ascii="Arial" w:hAnsi="Arial" w:cs="Arial"/>
          <w:lang w:val="fr-FR" w:eastAsia="fr-FR"/>
        </w:rPr>
      </w:pPr>
    </w:p>
    <w:p w:rsidR="00F039C8" w:rsidRDefault="00F039C8" w:rsidP="00F039C8">
      <w:pPr>
        <w:spacing w:after="0" w:line="240" w:lineRule="auto"/>
        <w:ind w:firstLine="709"/>
        <w:jc w:val="both"/>
        <w:rPr>
          <w:rFonts w:ascii="Arial" w:hAnsi="Arial" w:cs="Arial"/>
          <w:lang w:val="fr-FR" w:eastAsia="fr-FR"/>
        </w:rPr>
      </w:pPr>
      <w:r>
        <w:rPr>
          <w:rFonts w:ascii="Arial" w:hAnsi="Arial" w:cs="Arial"/>
          <w:lang w:val="fr-FR" w:eastAsia="fr-FR"/>
        </w:rPr>
        <w:t xml:space="preserve">Les </w:t>
      </w:r>
      <w:r w:rsidRPr="00F039C8">
        <w:rPr>
          <w:rFonts w:ascii="Arial" w:hAnsi="Arial" w:cs="Arial"/>
          <w:u w:val="single"/>
          <w:lang w:val="fr-FR" w:eastAsia="fr-FR"/>
        </w:rPr>
        <w:t>types de participation financière</w:t>
      </w:r>
      <w:r>
        <w:rPr>
          <w:rFonts w:ascii="Arial" w:hAnsi="Arial" w:cs="Arial"/>
          <w:lang w:val="fr-FR" w:eastAsia="fr-FR"/>
        </w:rPr>
        <w:t xml:space="preserve"> sont déterminés comme suit :</w:t>
      </w:r>
    </w:p>
    <w:p w:rsidR="00F039C8"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une participation financière par couverture du déficit ;</w:t>
      </w:r>
    </w:p>
    <w:p w:rsidR="00F039C8"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une participation financière par unité de prestation ;</w:t>
      </w:r>
    </w:p>
    <w:p w:rsidR="00F039C8"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une participation financière forfaitaire ou par projet ;</w:t>
      </w:r>
    </w:p>
    <w:p w:rsidR="00F039C8" w:rsidRDefault="00F039C8" w:rsidP="00F039C8">
      <w:pPr>
        <w:pStyle w:val="Paragraphedeliste"/>
        <w:spacing w:after="0" w:line="240" w:lineRule="auto"/>
        <w:ind w:left="1134" w:hanging="141"/>
        <w:jc w:val="both"/>
        <w:rPr>
          <w:rFonts w:ascii="Arial" w:hAnsi="Arial" w:cs="Arial"/>
          <w:lang w:val="fr-FR" w:eastAsia="fr-FR"/>
        </w:rPr>
      </w:pPr>
      <w:r>
        <w:rPr>
          <w:rFonts w:ascii="Arial" w:hAnsi="Arial" w:cs="Arial"/>
          <w:lang w:val="fr-FR" w:eastAsia="fr-FR"/>
        </w:rPr>
        <w:t>- une participation financière mixte.</w:t>
      </w:r>
    </w:p>
    <w:p w:rsidR="00F039C8" w:rsidRDefault="00F039C8" w:rsidP="00F039C8">
      <w:pPr>
        <w:spacing w:after="0" w:line="240" w:lineRule="auto"/>
        <w:jc w:val="both"/>
        <w:rPr>
          <w:rFonts w:ascii="Arial" w:hAnsi="Arial" w:cs="Arial"/>
          <w:lang w:val="fr-FR" w:eastAsia="fr-FR"/>
        </w:rPr>
      </w:pPr>
    </w:p>
    <w:p w:rsidR="00FC747F" w:rsidRDefault="00FC747F" w:rsidP="00F7120A">
      <w:pPr>
        <w:autoSpaceDE w:val="0"/>
        <w:autoSpaceDN w:val="0"/>
        <w:adjustRightInd w:val="0"/>
        <w:spacing w:after="40" w:line="201" w:lineRule="atLeast"/>
        <w:jc w:val="both"/>
        <w:rPr>
          <w:rFonts w:ascii="Arial" w:hAnsi="Arial" w:cs="Arial"/>
          <w:lang w:val="fr-FR" w:eastAsia="fr-FR"/>
        </w:rPr>
      </w:pPr>
    </w:p>
    <w:sectPr w:rsidR="00FC7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2A3"/>
    <w:multiLevelType w:val="hybridMultilevel"/>
    <w:tmpl w:val="B4FE099A"/>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D9A64B6"/>
    <w:multiLevelType w:val="hybridMultilevel"/>
    <w:tmpl w:val="EBEC46C8"/>
    <w:lvl w:ilvl="0" w:tplc="ECB0D91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E00C6"/>
    <w:multiLevelType w:val="hybridMultilevel"/>
    <w:tmpl w:val="6DDC2FF6"/>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6BA86B03"/>
    <w:multiLevelType w:val="hybridMultilevel"/>
    <w:tmpl w:val="8D405E28"/>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72E"/>
    <w:rsid w:val="000323D1"/>
    <w:rsid w:val="0057372E"/>
    <w:rsid w:val="00581920"/>
    <w:rsid w:val="00774AE7"/>
    <w:rsid w:val="00821DC2"/>
    <w:rsid w:val="00910ACB"/>
    <w:rsid w:val="00A05381"/>
    <w:rsid w:val="00F039C8"/>
    <w:rsid w:val="00F7120A"/>
    <w:rsid w:val="00FC74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6216ED-4CE6-4E9D-8920-0B387FEB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B9FD89-4437-4723-8DC6-6693757A4F95}">
  <ds:schemaRefs>
    <ds:schemaRef ds:uri="http://schemas.openxmlformats.org/officeDocument/2006/bibliography"/>
  </ds:schemaRefs>
</ds:datastoreItem>
</file>

<file path=customXml/itemProps2.xml><?xml version="1.0" encoding="utf-8"?>
<ds:datastoreItem xmlns:ds="http://schemas.openxmlformats.org/officeDocument/2006/customXml" ds:itemID="{C04DC293-8FEF-4315-9733-28E76CBC6009}"/>
</file>

<file path=customXml/itemProps3.xml><?xml version="1.0" encoding="utf-8"?>
<ds:datastoreItem xmlns:ds="http://schemas.openxmlformats.org/officeDocument/2006/customXml" ds:itemID="{E8D24867-4A61-451B-9028-BD8A7545561B}"/>
</file>

<file path=customXml/itemProps4.xml><?xml version="1.0" encoding="utf-8"?>
<ds:datastoreItem xmlns:ds="http://schemas.openxmlformats.org/officeDocument/2006/customXml" ds:itemID="{7AF499A6-E5BC-45A9-B6A5-A9BB36DA4D71}"/>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3940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