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92" w:rsidRPr="00642DFD" w:rsidRDefault="00902F92" w:rsidP="00902F92">
      <w:pPr>
        <w:spacing w:after="0" w:line="240" w:lineRule="auto"/>
        <w:jc w:val="both"/>
        <w:rPr>
          <w:rFonts w:ascii="Arial" w:hAnsi="Arial" w:cs="Arial"/>
          <w:b/>
        </w:rPr>
      </w:pPr>
      <w:bookmarkStart w:id="0" w:name="_GoBack"/>
      <w:bookmarkEnd w:id="0"/>
      <w:r w:rsidRPr="00642DFD">
        <w:rPr>
          <w:rFonts w:ascii="Arial" w:hAnsi="Arial" w:cs="Arial"/>
          <w:b/>
        </w:rPr>
        <w:t>Projet de loi relative à des mesures à prendre en relation avec le secteur financier en cas de retrait du Royaume-Uni de Grande-Bretagne et d'Irlande du Nord de l’Union européenne et modifiant :</w:t>
      </w:r>
    </w:p>
    <w:p w:rsidR="00902F92" w:rsidRPr="00642DFD" w:rsidRDefault="00902F92" w:rsidP="00C26BB5">
      <w:pPr>
        <w:spacing w:after="0" w:line="240" w:lineRule="auto"/>
        <w:jc w:val="both"/>
        <w:rPr>
          <w:rFonts w:ascii="Arial" w:hAnsi="Arial" w:cs="Arial"/>
          <w:b/>
        </w:rPr>
      </w:pPr>
      <w:r w:rsidRPr="00642DFD">
        <w:rPr>
          <w:rFonts w:ascii="Arial" w:hAnsi="Arial" w:cs="Arial"/>
          <w:b/>
        </w:rPr>
        <w:t>1° la loi modifiée du 5 avril 1993 relative au secteur financier ;</w:t>
      </w:r>
    </w:p>
    <w:p w:rsidR="00902F92" w:rsidRPr="00642DFD" w:rsidRDefault="00902F92" w:rsidP="00C26BB5">
      <w:pPr>
        <w:spacing w:after="0" w:line="240" w:lineRule="auto"/>
        <w:jc w:val="both"/>
        <w:rPr>
          <w:rFonts w:ascii="Arial" w:hAnsi="Arial" w:cs="Arial"/>
          <w:b/>
        </w:rPr>
      </w:pPr>
      <w:r w:rsidRPr="00642DFD">
        <w:rPr>
          <w:rFonts w:ascii="Arial" w:hAnsi="Arial" w:cs="Arial"/>
          <w:b/>
        </w:rPr>
        <w:t>2° la loi modifiée du 10 novembre 2009 relative aux services de paiement ;</w:t>
      </w:r>
    </w:p>
    <w:p w:rsidR="00902F92" w:rsidRPr="00642DFD" w:rsidRDefault="00902F92" w:rsidP="00C26BB5">
      <w:pPr>
        <w:spacing w:after="0" w:line="240" w:lineRule="auto"/>
        <w:jc w:val="both"/>
        <w:rPr>
          <w:rFonts w:ascii="Arial" w:hAnsi="Arial" w:cs="Arial"/>
          <w:b/>
        </w:rPr>
      </w:pPr>
      <w:r w:rsidRPr="00642DFD">
        <w:rPr>
          <w:rFonts w:ascii="Arial" w:hAnsi="Arial" w:cs="Arial"/>
          <w:b/>
        </w:rPr>
        <w:t>3° la loi modifiée du 17 décembre 2010 concernant les organismes de placement collectif ;</w:t>
      </w:r>
    </w:p>
    <w:p w:rsidR="00902F92" w:rsidRPr="00642DFD" w:rsidRDefault="00902F92" w:rsidP="00C26BB5">
      <w:pPr>
        <w:spacing w:after="0" w:line="240" w:lineRule="auto"/>
        <w:jc w:val="both"/>
        <w:rPr>
          <w:rFonts w:ascii="Arial" w:hAnsi="Arial" w:cs="Arial"/>
          <w:b/>
        </w:rPr>
      </w:pPr>
      <w:r w:rsidRPr="00642DFD">
        <w:rPr>
          <w:rFonts w:ascii="Arial" w:hAnsi="Arial" w:cs="Arial"/>
          <w:b/>
        </w:rPr>
        <w:t>4° la loi modifiée du 12 juillet 2013 relative aux gestionnaires de fonds d’investissement alternatifs ;</w:t>
      </w:r>
    </w:p>
    <w:p w:rsidR="00902F92" w:rsidRPr="00642DFD" w:rsidRDefault="00902F92" w:rsidP="00C26BB5">
      <w:pPr>
        <w:spacing w:after="0" w:line="240" w:lineRule="auto"/>
        <w:jc w:val="both"/>
        <w:rPr>
          <w:rFonts w:ascii="Arial" w:hAnsi="Arial" w:cs="Arial"/>
          <w:b/>
        </w:rPr>
      </w:pPr>
      <w:r w:rsidRPr="00642DFD">
        <w:rPr>
          <w:rFonts w:ascii="Arial" w:hAnsi="Arial" w:cs="Arial"/>
          <w:b/>
        </w:rPr>
        <w:t>5° la loi modifiée du 7 décembre 2015 sur le secteur des assurances ; et</w:t>
      </w:r>
    </w:p>
    <w:p w:rsidR="007265A3" w:rsidRPr="00642DFD" w:rsidRDefault="00902F92" w:rsidP="00C26BB5">
      <w:pPr>
        <w:pStyle w:val="Titre"/>
        <w:ind w:left="0"/>
        <w:jc w:val="both"/>
        <w:rPr>
          <w:b/>
          <w:color w:val="FF0000"/>
          <w:sz w:val="22"/>
          <w:szCs w:val="22"/>
        </w:rPr>
      </w:pPr>
      <w:r w:rsidRPr="00642DFD">
        <w:rPr>
          <w:b/>
          <w:sz w:val="22"/>
          <w:szCs w:val="22"/>
        </w:rPr>
        <w:t>6° la loi modifiée du 18 décembre 2015 relative à la défaillance des établissements de crédit et de certaines entreprises d’investissement</w:t>
      </w:r>
    </w:p>
    <w:p w:rsidR="00637D91" w:rsidRPr="00637D91" w:rsidRDefault="00637D91" w:rsidP="00637D91">
      <w:pPr>
        <w:spacing w:after="0" w:line="240" w:lineRule="auto"/>
        <w:jc w:val="both"/>
        <w:rPr>
          <w:rFonts w:ascii="Arial" w:hAnsi="Arial" w:cs="Arial"/>
          <w:lang w:val="fr-CH"/>
        </w:rPr>
      </w:pPr>
    </w:p>
    <w:p w:rsidR="00637D91" w:rsidRPr="00637D91" w:rsidRDefault="00637D91" w:rsidP="00637D91">
      <w:pPr>
        <w:spacing w:after="0" w:line="240" w:lineRule="auto"/>
        <w:jc w:val="both"/>
        <w:rPr>
          <w:rFonts w:ascii="Arial" w:hAnsi="Arial" w:cs="Arial"/>
          <w:lang w:val="fr-CH"/>
        </w:rPr>
      </w:pPr>
      <w:r w:rsidRPr="00637D91">
        <w:rPr>
          <w:rFonts w:ascii="Arial" w:hAnsi="Arial" w:cs="Arial"/>
          <w:lang w:val="fr-CH"/>
        </w:rPr>
        <w:t>Le projet de loi sous rubrique a pour objet de conférer aux autorités de contrôle nationales, la Commission de surveillance du secteur financier (CSSF) et le Commissariat aux assurances (CAA), le pouvoir de prendre des mesures temporaires pour assurer la stabilité</w:t>
      </w:r>
      <w:r w:rsidR="00DE65B5">
        <w:rPr>
          <w:rFonts w:ascii="Arial" w:hAnsi="Arial" w:cs="Arial"/>
          <w:lang w:val="fr-CH"/>
        </w:rPr>
        <w:t xml:space="preserve"> et</w:t>
      </w:r>
      <w:r w:rsidRPr="00637D91">
        <w:rPr>
          <w:rFonts w:ascii="Arial" w:hAnsi="Arial" w:cs="Arial"/>
          <w:lang w:val="fr-CH"/>
        </w:rPr>
        <w:t xml:space="preserve"> le bon fonctionnement du secteur financier </w:t>
      </w:r>
      <w:r w:rsidR="00DE65B5">
        <w:rPr>
          <w:rFonts w:ascii="Arial" w:hAnsi="Arial" w:cs="Arial"/>
          <w:lang w:val="fr-CH"/>
        </w:rPr>
        <w:t>tout en garantissant</w:t>
      </w:r>
      <w:r w:rsidR="00DE65B5" w:rsidRPr="00637D91">
        <w:rPr>
          <w:rFonts w:ascii="Arial" w:hAnsi="Arial" w:cs="Arial"/>
          <w:lang w:val="fr-CH"/>
        </w:rPr>
        <w:t xml:space="preserve"> </w:t>
      </w:r>
      <w:r w:rsidRPr="00637D91">
        <w:rPr>
          <w:rFonts w:ascii="Arial" w:hAnsi="Arial" w:cs="Arial"/>
          <w:lang w:val="fr-CH"/>
        </w:rPr>
        <w:t xml:space="preserve">la protection des déposants et </w:t>
      </w:r>
      <w:r w:rsidR="00DE65B5">
        <w:rPr>
          <w:rFonts w:ascii="Arial" w:hAnsi="Arial" w:cs="Arial"/>
          <w:lang w:val="fr-CH"/>
        </w:rPr>
        <w:t xml:space="preserve">des </w:t>
      </w:r>
      <w:r w:rsidRPr="00637D91">
        <w:rPr>
          <w:rFonts w:ascii="Arial" w:hAnsi="Arial" w:cs="Arial"/>
          <w:lang w:val="fr-CH"/>
        </w:rPr>
        <w:t xml:space="preserve">investisseurs </w:t>
      </w:r>
      <w:r w:rsidR="00DE65B5">
        <w:rPr>
          <w:rFonts w:ascii="Arial" w:hAnsi="Arial" w:cs="Arial"/>
          <w:lang w:val="fr-CH"/>
        </w:rPr>
        <w:t>dans le</w:t>
      </w:r>
      <w:r w:rsidRPr="00637D91">
        <w:rPr>
          <w:rFonts w:ascii="Arial" w:hAnsi="Arial" w:cs="Arial"/>
          <w:lang w:val="fr-CH"/>
        </w:rPr>
        <w:t xml:space="preserve"> cas d’une sortie sans accord du Royaume-Uni de Grande-Bretagne et d’Irlande du Nord de l’Union européenne.</w:t>
      </w:r>
    </w:p>
    <w:p w:rsidR="00637D91" w:rsidRPr="00637D91" w:rsidRDefault="00637D91" w:rsidP="00637D91">
      <w:pPr>
        <w:spacing w:after="0" w:line="240" w:lineRule="auto"/>
        <w:jc w:val="both"/>
        <w:rPr>
          <w:rFonts w:ascii="Arial" w:hAnsi="Arial" w:cs="Arial"/>
          <w:lang w:val="fr-CH"/>
        </w:rPr>
      </w:pPr>
    </w:p>
    <w:p w:rsidR="00637D91" w:rsidRPr="00637D91" w:rsidRDefault="00637D91" w:rsidP="00637D91">
      <w:pPr>
        <w:spacing w:after="0" w:line="240" w:lineRule="auto"/>
        <w:jc w:val="both"/>
        <w:rPr>
          <w:rFonts w:ascii="Arial" w:hAnsi="Arial" w:cs="Arial"/>
          <w:lang w:val="fr-CH"/>
        </w:rPr>
      </w:pPr>
      <w:r w:rsidRPr="00637D91">
        <w:rPr>
          <w:rFonts w:ascii="Arial" w:hAnsi="Arial" w:cs="Arial"/>
          <w:lang w:val="fr-CH"/>
        </w:rPr>
        <w:t>À l’heure actuelle</w:t>
      </w:r>
      <w:r w:rsidR="001A2A97">
        <w:rPr>
          <w:rFonts w:ascii="Arial" w:hAnsi="Arial" w:cs="Arial"/>
          <w:lang w:val="fr-CH"/>
        </w:rPr>
        <w:t>,</w:t>
      </w:r>
      <w:r w:rsidRPr="00637D91">
        <w:rPr>
          <w:rFonts w:ascii="Arial" w:hAnsi="Arial" w:cs="Arial"/>
          <w:lang w:val="fr-CH"/>
        </w:rPr>
        <w:t xml:space="preserve"> un nombre important d’entreprises financières britanniques exercent des activités commerciales au Luxembourg grâce au passeport européen. Au cas où le Royaume-Uni se retir</w:t>
      </w:r>
      <w:r w:rsidR="001A2A97">
        <w:rPr>
          <w:rFonts w:ascii="Arial" w:hAnsi="Arial" w:cs="Arial"/>
          <w:lang w:val="fr-CH"/>
        </w:rPr>
        <w:t>er</w:t>
      </w:r>
      <w:r w:rsidRPr="00637D91">
        <w:rPr>
          <w:rFonts w:ascii="Arial" w:hAnsi="Arial" w:cs="Arial"/>
          <w:lang w:val="fr-CH"/>
        </w:rPr>
        <w:t>ait sans accord de l’Union européenne, ces entreprises perdraient du jour au lendemain leur accès au marché européen.</w:t>
      </w:r>
    </w:p>
    <w:p w:rsidR="00637D91" w:rsidRPr="00637D91" w:rsidRDefault="00637D91" w:rsidP="00637D91">
      <w:pPr>
        <w:spacing w:after="0" w:line="240" w:lineRule="auto"/>
        <w:jc w:val="both"/>
        <w:rPr>
          <w:rFonts w:ascii="Arial" w:hAnsi="Arial" w:cs="Arial"/>
          <w:lang w:val="fr-CH"/>
        </w:rPr>
      </w:pPr>
    </w:p>
    <w:p w:rsidR="00637D91" w:rsidRPr="00637D91" w:rsidRDefault="00637D91" w:rsidP="00637D91">
      <w:pPr>
        <w:spacing w:after="0" w:line="240" w:lineRule="auto"/>
        <w:jc w:val="both"/>
        <w:rPr>
          <w:rFonts w:ascii="Arial" w:hAnsi="Arial" w:cs="Arial"/>
          <w:lang w:val="fr-CH"/>
        </w:rPr>
      </w:pPr>
      <w:r w:rsidRPr="00637D91">
        <w:rPr>
          <w:rFonts w:ascii="Arial" w:hAnsi="Arial" w:cs="Arial"/>
          <w:lang w:val="fr-CH"/>
        </w:rPr>
        <w:t>Par conséquent</w:t>
      </w:r>
      <w:r w:rsidR="001A2A97">
        <w:rPr>
          <w:rFonts w:ascii="Arial" w:hAnsi="Arial" w:cs="Arial"/>
          <w:lang w:val="fr-CH"/>
        </w:rPr>
        <w:t>,</w:t>
      </w:r>
      <w:r w:rsidRPr="00637D91">
        <w:rPr>
          <w:rFonts w:ascii="Arial" w:hAnsi="Arial" w:cs="Arial"/>
          <w:lang w:val="fr-CH"/>
        </w:rPr>
        <w:t xml:space="preserve"> il est important que les autorités compétentes luxembourgeoises puissent prendre les mesures nécessaires </w:t>
      </w:r>
      <w:r w:rsidR="001A2A97">
        <w:rPr>
          <w:rFonts w:ascii="Arial" w:hAnsi="Arial" w:cs="Arial"/>
          <w:lang w:val="fr-CH"/>
        </w:rPr>
        <w:t>afin de</w:t>
      </w:r>
      <w:r w:rsidR="001A2A97" w:rsidRPr="00637D91">
        <w:rPr>
          <w:rFonts w:ascii="Arial" w:hAnsi="Arial" w:cs="Arial"/>
          <w:lang w:val="fr-CH"/>
        </w:rPr>
        <w:t xml:space="preserve"> </w:t>
      </w:r>
      <w:r w:rsidRPr="00637D91">
        <w:rPr>
          <w:rFonts w:ascii="Arial" w:hAnsi="Arial" w:cs="Arial"/>
          <w:lang w:val="fr-CH"/>
        </w:rPr>
        <w:t>maintenir une certaine continuité pendant une période de transition</w:t>
      </w:r>
      <w:r w:rsidR="001A2A97">
        <w:rPr>
          <w:rFonts w:ascii="Arial" w:hAnsi="Arial" w:cs="Arial"/>
          <w:lang w:val="fr-CH"/>
        </w:rPr>
        <w:t xml:space="preserve"> tout en assurant</w:t>
      </w:r>
      <w:r w:rsidRPr="00637D91">
        <w:rPr>
          <w:rFonts w:ascii="Arial" w:hAnsi="Arial" w:cs="Arial"/>
          <w:lang w:val="fr-CH"/>
        </w:rPr>
        <w:t xml:space="preserve"> des relations commerciales entre les entreprises financières britanniques et leurs clients au Luxembourg. À cette fin</w:t>
      </w:r>
      <w:r w:rsidR="001A2A97">
        <w:rPr>
          <w:rFonts w:ascii="Arial" w:hAnsi="Arial" w:cs="Arial"/>
          <w:lang w:val="fr-CH"/>
        </w:rPr>
        <w:t>,</w:t>
      </w:r>
      <w:r w:rsidRPr="00637D91">
        <w:rPr>
          <w:rFonts w:ascii="Arial" w:hAnsi="Arial" w:cs="Arial"/>
          <w:lang w:val="fr-CH"/>
        </w:rPr>
        <w:t xml:space="preserve"> la présente loi en projet prévoit que la CSSF et le CAA aient la possibilité de traiter les entreprises et les établissements britanniques ayant des relations contractuelles au moment du retrait avec des contreparties luxembourgeoises comme d’origine communautaire, prolongeant ainsi leur statut actuel, pendant une durée </w:t>
      </w:r>
      <w:r w:rsidR="001A2A97">
        <w:rPr>
          <w:rFonts w:ascii="Arial" w:hAnsi="Arial" w:cs="Arial"/>
          <w:lang w:val="fr-CH"/>
        </w:rPr>
        <w:t xml:space="preserve">maximale </w:t>
      </w:r>
      <w:r w:rsidRPr="00637D91">
        <w:rPr>
          <w:rFonts w:ascii="Arial" w:hAnsi="Arial" w:cs="Arial"/>
          <w:lang w:val="fr-CH"/>
        </w:rPr>
        <w:t xml:space="preserve">de 21 mois, à partir de la date du retrait du Royaume-Uni de l’UE. </w:t>
      </w:r>
    </w:p>
    <w:p w:rsidR="00637D91" w:rsidRPr="00637D91" w:rsidRDefault="00637D91" w:rsidP="00637D91">
      <w:pPr>
        <w:spacing w:after="0" w:line="240" w:lineRule="auto"/>
        <w:jc w:val="both"/>
        <w:rPr>
          <w:rFonts w:ascii="Arial" w:hAnsi="Arial" w:cs="Arial"/>
          <w:lang w:val="fr-CH"/>
        </w:rPr>
      </w:pPr>
    </w:p>
    <w:p w:rsidR="00637D91" w:rsidRDefault="00637D91" w:rsidP="00637D91">
      <w:pPr>
        <w:spacing w:after="0" w:line="240" w:lineRule="auto"/>
        <w:jc w:val="both"/>
        <w:rPr>
          <w:rFonts w:ascii="Arial" w:hAnsi="Arial" w:cs="Arial"/>
          <w:lang w:val="fr-CH"/>
        </w:rPr>
      </w:pPr>
      <w:r w:rsidRPr="00637D91">
        <w:rPr>
          <w:rFonts w:ascii="Arial" w:hAnsi="Arial" w:cs="Arial"/>
          <w:lang w:val="fr-CH"/>
        </w:rPr>
        <w:t xml:space="preserve">À préciser que ces dispositions s’appliquent uniquement aux contrats en cours au moment du retrait du Royaume-Uni, respectivement aux contrats conclus après cette date, qui présentent un lien étroit avec un contrat conclu avant cette date. </w:t>
      </w:r>
    </w:p>
    <w:p w:rsidR="00ED37DB" w:rsidRPr="00637D91" w:rsidRDefault="00ED37DB" w:rsidP="00637D91">
      <w:pPr>
        <w:spacing w:after="0" w:line="240" w:lineRule="auto"/>
        <w:jc w:val="both"/>
        <w:rPr>
          <w:rFonts w:ascii="Arial" w:hAnsi="Arial" w:cs="Arial"/>
          <w:lang w:val="fr-CH"/>
        </w:rPr>
      </w:pPr>
    </w:p>
    <w:p w:rsidR="00637D91" w:rsidRPr="00637D91" w:rsidRDefault="00637D91" w:rsidP="00637D91">
      <w:pPr>
        <w:spacing w:after="0" w:line="240" w:lineRule="auto"/>
        <w:jc w:val="both"/>
        <w:rPr>
          <w:rFonts w:ascii="Arial" w:hAnsi="Arial" w:cs="Arial"/>
          <w:lang w:val="fr-CH"/>
        </w:rPr>
      </w:pPr>
      <w:r w:rsidRPr="00637D91">
        <w:rPr>
          <w:rFonts w:ascii="Arial" w:hAnsi="Arial" w:cs="Arial"/>
          <w:lang w:val="fr-CH"/>
        </w:rPr>
        <w:t>De plus, le présent projet de loi introduit certains ajustements concernant les systèmes de paiement et de règlement des opérations sur titres de pays tiers prévus par la directive 98/26/CE du Parlement européen et du Conseil du 19 mai 1998 concernant le caractère définitif du règlement dans les systèmes de paiement et de règlement des opérations sur titres. Dans ce contexte, il y a lieu de modifier les dispositions afférentes pour garantir la participation des banques et entreprises d’investissement luxembourgeoises à des systèmes de pays tiers à l’avenir.</w:t>
      </w:r>
    </w:p>
    <w:p w:rsidR="00637D91" w:rsidRPr="00637D91" w:rsidRDefault="00637D91" w:rsidP="00ED37DB">
      <w:pPr>
        <w:pStyle w:val="Body"/>
        <w:rPr>
          <w:rFonts w:ascii="Arial" w:eastAsia="Arial" w:hAnsi="Arial" w:cs="Arial"/>
          <w:b/>
          <w:bCs/>
          <w:sz w:val="22"/>
          <w:szCs w:val="22"/>
          <w:lang w:val="fr-CH"/>
        </w:rPr>
      </w:pPr>
    </w:p>
    <w:sectPr w:rsidR="00637D91" w:rsidRPr="00637D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22F" w:rsidRDefault="0065522F" w:rsidP="00EA6B89">
      <w:pPr>
        <w:spacing w:after="0" w:line="240" w:lineRule="auto"/>
      </w:pPr>
      <w:r>
        <w:separator/>
      </w:r>
    </w:p>
  </w:endnote>
  <w:endnote w:type="continuationSeparator" w:id="0">
    <w:p w:rsidR="0065522F" w:rsidRDefault="0065522F" w:rsidP="00EA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T">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97" w:rsidRPr="00EA6B89" w:rsidRDefault="001A2A97">
    <w:pPr>
      <w:pStyle w:val="Pieddepage"/>
      <w:jc w:val="center"/>
      <w:rPr>
        <w:rFonts w:ascii="Arial" w:hAnsi="Arial" w:cs="Arial"/>
        <w:sz w:val="20"/>
        <w:szCs w:val="20"/>
      </w:rPr>
    </w:pPr>
    <w:r w:rsidRPr="00EA6B89">
      <w:rPr>
        <w:rFonts w:ascii="Arial" w:hAnsi="Arial" w:cs="Arial"/>
        <w:sz w:val="20"/>
        <w:szCs w:val="20"/>
      </w:rPr>
      <w:fldChar w:fldCharType="begin"/>
    </w:r>
    <w:r w:rsidR="006C0F65">
      <w:rPr>
        <w:rFonts w:ascii="Arial" w:hAnsi="Arial" w:cs="Arial"/>
        <w:sz w:val="20"/>
        <w:szCs w:val="20"/>
      </w:rPr>
      <w:instrText>PAGE</w:instrText>
    </w:r>
    <w:r w:rsidRPr="00EA6B89">
      <w:rPr>
        <w:rFonts w:ascii="Arial" w:hAnsi="Arial" w:cs="Arial"/>
        <w:sz w:val="20"/>
        <w:szCs w:val="20"/>
      </w:rPr>
      <w:instrText xml:space="preserve">   \* MERGEFORMAT</w:instrText>
    </w:r>
    <w:r w:rsidRPr="00EA6B89">
      <w:rPr>
        <w:rFonts w:ascii="Arial" w:hAnsi="Arial" w:cs="Arial"/>
        <w:sz w:val="20"/>
        <w:szCs w:val="20"/>
      </w:rPr>
      <w:fldChar w:fldCharType="separate"/>
    </w:r>
    <w:r w:rsidR="00F90E21" w:rsidRPr="00F90E21">
      <w:rPr>
        <w:rFonts w:ascii="Arial" w:hAnsi="Arial" w:cs="Arial"/>
        <w:noProof/>
        <w:sz w:val="20"/>
        <w:szCs w:val="20"/>
        <w:lang w:val="fr-FR"/>
      </w:rPr>
      <w:t>1</w:t>
    </w:r>
    <w:r w:rsidRPr="00EA6B89">
      <w:rPr>
        <w:rFonts w:ascii="Arial" w:hAnsi="Arial" w:cs="Arial"/>
        <w:sz w:val="20"/>
        <w:szCs w:val="20"/>
      </w:rPr>
      <w:fldChar w:fldCharType="end"/>
    </w:r>
  </w:p>
  <w:p w:rsidR="001A2A97" w:rsidRDefault="001A2A9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22F" w:rsidRDefault="0065522F" w:rsidP="00EA6B89">
      <w:pPr>
        <w:spacing w:after="0" w:line="240" w:lineRule="auto"/>
      </w:pPr>
      <w:r>
        <w:separator/>
      </w:r>
    </w:p>
  </w:footnote>
  <w:footnote w:type="continuationSeparator" w:id="0">
    <w:p w:rsidR="0065522F" w:rsidRDefault="0065522F" w:rsidP="00EA6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6AA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A0A20"/>
    <w:multiLevelType w:val="hybridMultilevel"/>
    <w:tmpl w:val="C1EAD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5C451E"/>
    <w:multiLevelType w:val="hybridMultilevel"/>
    <w:tmpl w:val="A064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36125"/>
    <w:multiLevelType w:val="hybridMultilevel"/>
    <w:tmpl w:val="FDAEB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D209B"/>
    <w:multiLevelType w:val="hybridMultilevel"/>
    <w:tmpl w:val="2F289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5F6261"/>
    <w:multiLevelType w:val="hybridMultilevel"/>
    <w:tmpl w:val="2C9816BA"/>
    <w:lvl w:ilvl="0" w:tplc="1458DF0A">
      <w:start w:val="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7B37B0"/>
    <w:multiLevelType w:val="hybridMultilevel"/>
    <w:tmpl w:val="F8A0CB0A"/>
    <w:lvl w:ilvl="0" w:tplc="040C000F">
      <w:start w:val="1"/>
      <w:numFmt w:val="decimal"/>
      <w:lvlText w:val="%1."/>
      <w:lvlJc w:val="left"/>
      <w:pPr>
        <w:ind w:left="720" w:hanging="360"/>
      </w:pPr>
      <w:rPr>
        <w:rFonts w:hint="default"/>
      </w:rPr>
    </w:lvl>
    <w:lvl w:ilvl="1" w:tplc="BF629E7C">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C92676"/>
    <w:multiLevelType w:val="hybridMultilevel"/>
    <w:tmpl w:val="2850F242"/>
    <w:lvl w:ilvl="0" w:tplc="3AA67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66957"/>
    <w:multiLevelType w:val="hybridMultilevel"/>
    <w:tmpl w:val="9F10A99C"/>
    <w:lvl w:ilvl="0" w:tplc="808CF2BC">
      <w:start w:val="1"/>
      <w:numFmt w:val="decimal"/>
      <w:lvlText w:val="%1."/>
      <w:lvlJc w:val="left"/>
      <w:pPr>
        <w:ind w:left="861" w:hanging="435"/>
      </w:pPr>
      <w:rPr>
        <w:rFonts w:eastAsia="Calibri" w:cs="Times New Roman"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72351B0C"/>
    <w:multiLevelType w:val="hybridMultilevel"/>
    <w:tmpl w:val="807A6E58"/>
    <w:lvl w:ilvl="0" w:tplc="F8602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F1EF4"/>
    <w:multiLevelType w:val="hybridMultilevel"/>
    <w:tmpl w:val="781C6D18"/>
    <w:lvl w:ilvl="0" w:tplc="040C0017">
      <w:start w:val="1"/>
      <w:numFmt w:val="lowerLetter"/>
      <w:lvlText w:val="%1)"/>
      <w:lvlJc w:val="left"/>
      <w:pPr>
        <w:ind w:left="1434" w:hanging="360"/>
      </w:pPr>
    </w:lvl>
    <w:lvl w:ilvl="1" w:tplc="040C000F">
      <w:start w:val="1"/>
      <w:numFmt w:val="decimal"/>
      <w:lvlText w:val="%2."/>
      <w:lvlJc w:val="left"/>
      <w:pPr>
        <w:ind w:left="2154" w:hanging="360"/>
      </w:pPr>
    </w:lvl>
    <w:lvl w:ilvl="2" w:tplc="71A43F32">
      <w:start w:val="1"/>
      <w:numFmt w:val="lowerRoman"/>
      <w:lvlText w:val="%3)"/>
      <w:lvlJc w:val="left"/>
      <w:pPr>
        <w:ind w:left="3414" w:hanging="720"/>
      </w:pPr>
    </w:lvl>
    <w:lvl w:ilvl="3" w:tplc="040C000F">
      <w:start w:val="1"/>
      <w:numFmt w:val="decimal"/>
      <w:lvlText w:val="%4."/>
      <w:lvlJc w:val="left"/>
      <w:pPr>
        <w:ind w:left="3594" w:hanging="360"/>
      </w:pPr>
    </w:lvl>
    <w:lvl w:ilvl="4" w:tplc="040C0019">
      <w:start w:val="1"/>
      <w:numFmt w:val="lowerLetter"/>
      <w:lvlText w:val="%5."/>
      <w:lvlJc w:val="left"/>
      <w:pPr>
        <w:ind w:left="4314" w:hanging="360"/>
      </w:pPr>
    </w:lvl>
    <w:lvl w:ilvl="5" w:tplc="040C001B">
      <w:start w:val="1"/>
      <w:numFmt w:val="lowerRoman"/>
      <w:lvlText w:val="%6."/>
      <w:lvlJc w:val="right"/>
      <w:pPr>
        <w:ind w:left="5034" w:hanging="180"/>
      </w:pPr>
    </w:lvl>
    <w:lvl w:ilvl="6" w:tplc="040C000F">
      <w:start w:val="1"/>
      <w:numFmt w:val="decimal"/>
      <w:lvlText w:val="%7."/>
      <w:lvlJc w:val="left"/>
      <w:pPr>
        <w:ind w:left="5754" w:hanging="360"/>
      </w:pPr>
    </w:lvl>
    <w:lvl w:ilvl="7" w:tplc="040C0019">
      <w:start w:val="1"/>
      <w:numFmt w:val="lowerLetter"/>
      <w:lvlText w:val="%8."/>
      <w:lvlJc w:val="left"/>
      <w:pPr>
        <w:ind w:left="6474" w:hanging="360"/>
      </w:pPr>
    </w:lvl>
    <w:lvl w:ilvl="8" w:tplc="040C001B">
      <w:start w:val="1"/>
      <w:numFmt w:val="lowerRoman"/>
      <w:lvlText w:val="%9."/>
      <w:lvlJc w:val="right"/>
      <w:pPr>
        <w:ind w:left="7194" w:hanging="180"/>
      </w:pPr>
    </w:lvl>
  </w:abstractNum>
  <w:abstractNum w:abstractNumId="14" w15:restartNumberingAfterBreak="0">
    <w:nsid w:val="798B1001"/>
    <w:multiLevelType w:val="hybridMultilevel"/>
    <w:tmpl w:val="3F96C4EA"/>
    <w:lvl w:ilvl="0" w:tplc="040C000F">
      <w:start w:val="1"/>
      <w:numFmt w:val="decimal"/>
      <w:lvlText w:val="%1."/>
      <w:lvlJc w:val="left"/>
      <w:pPr>
        <w:ind w:left="1571" w:hanging="360"/>
      </w:pPr>
    </w:lvl>
    <w:lvl w:ilvl="1" w:tplc="040C000F">
      <w:start w:val="1"/>
      <w:numFmt w:val="decimal"/>
      <w:lvlText w:val="%2."/>
      <w:lvlJc w:val="left"/>
      <w:pPr>
        <w:ind w:left="1353"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1"/>
  </w:num>
  <w:num w:numId="2">
    <w:abstractNumId w:val="2"/>
  </w:num>
  <w:num w:numId="3">
    <w:abstractNumId w:val="6"/>
  </w:num>
  <w:num w:numId="4">
    <w:abstractNumId w:val="8"/>
  </w:num>
  <w:num w:numId="5">
    <w:abstractNumId w:val="13"/>
  </w:num>
  <w:num w:numId="6">
    <w:abstractNumId w:val="14"/>
  </w:num>
  <w:num w:numId="7">
    <w:abstractNumId w:val="1"/>
  </w:num>
  <w:num w:numId="8">
    <w:abstractNumId w:val="10"/>
  </w:num>
  <w:num w:numId="9">
    <w:abstractNumId w:val="7"/>
  </w:num>
  <w:num w:numId="10">
    <w:abstractNumId w:val="5"/>
  </w:num>
  <w:num w:numId="11">
    <w:abstractNumId w:val="9"/>
  </w:num>
  <w:num w:numId="12">
    <w:abstractNumId w:val="3"/>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73C"/>
    <w:rsid w:val="0002273C"/>
    <w:rsid w:val="00026778"/>
    <w:rsid w:val="0003265A"/>
    <w:rsid w:val="000762ED"/>
    <w:rsid w:val="000B1E25"/>
    <w:rsid w:val="000C0E73"/>
    <w:rsid w:val="000E6DDA"/>
    <w:rsid w:val="0010111B"/>
    <w:rsid w:val="0011355D"/>
    <w:rsid w:val="00143EB6"/>
    <w:rsid w:val="00147C53"/>
    <w:rsid w:val="00155D9B"/>
    <w:rsid w:val="00156840"/>
    <w:rsid w:val="00197893"/>
    <w:rsid w:val="001A2A97"/>
    <w:rsid w:val="001C1665"/>
    <w:rsid w:val="001D7B04"/>
    <w:rsid w:val="001E6993"/>
    <w:rsid w:val="001F39B2"/>
    <w:rsid w:val="002010DC"/>
    <w:rsid w:val="00224919"/>
    <w:rsid w:val="00226D2E"/>
    <w:rsid w:val="002375F4"/>
    <w:rsid w:val="00244018"/>
    <w:rsid w:val="002C2635"/>
    <w:rsid w:val="002D3711"/>
    <w:rsid w:val="002F0ADB"/>
    <w:rsid w:val="002F3B16"/>
    <w:rsid w:val="003466E5"/>
    <w:rsid w:val="003F5E23"/>
    <w:rsid w:val="004036B7"/>
    <w:rsid w:val="00426BB2"/>
    <w:rsid w:val="00445FD4"/>
    <w:rsid w:val="00495E9F"/>
    <w:rsid w:val="004B0EF9"/>
    <w:rsid w:val="004B24AE"/>
    <w:rsid w:val="004C5422"/>
    <w:rsid w:val="004E49E0"/>
    <w:rsid w:val="005141A9"/>
    <w:rsid w:val="00546FB4"/>
    <w:rsid w:val="00570DA9"/>
    <w:rsid w:val="005B5C56"/>
    <w:rsid w:val="005E7AAA"/>
    <w:rsid w:val="00637D91"/>
    <w:rsid w:val="00642DFD"/>
    <w:rsid w:val="0065522F"/>
    <w:rsid w:val="006820B9"/>
    <w:rsid w:val="00684466"/>
    <w:rsid w:val="006C0F65"/>
    <w:rsid w:val="006E2755"/>
    <w:rsid w:val="00715931"/>
    <w:rsid w:val="007265A3"/>
    <w:rsid w:val="00760E0D"/>
    <w:rsid w:val="00790AA0"/>
    <w:rsid w:val="007942C7"/>
    <w:rsid w:val="007E0AC8"/>
    <w:rsid w:val="007E2E31"/>
    <w:rsid w:val="00814C7A"/>
    <w:rsid w:val="00820EC8"/>
    <w:rsid w:val="0085149F"/>
    <w:rsid w:val="00860178"/>
    <w:rsid w:val="008C5D9E"/>
    <w:rsid w:val="008D3C47"/>
    <w:rsid w:val="008F59F6"/>
    <w:rsid w:val="00902F92"/>
    <w:rsid w:val="00913B84"/>
    <w:rsid w:val="00924264"/>
    <w:rsid w:val="009278CA"/>
    <w:rsid w:val="00935540"/>
    <w:rsid w:val="00967850"/>
    <w:rsid w:val="00976185"/>
    <w:rsid w:val="00980F22"/>
    <w:rsid w:val="009942AE"/>
    <w:rsid w:val="009D3856"/>
    <w:rsid w:val="00A103F1"/>
    <w:rsid w:val="00A31A25"/>
    <w:rsid w:val="00A36326"/>
    <w:rsid w:val="00A614EB"/>
    <w:rsid w:val="00A63082"/>
    <w:rsid w:val="00A63AE6"/>
    <w:rsid w:val="00AA2BD5"/>
    <w:rsid w:val="00B23BB3"/>
    <w:rsid w:val="00B35D0C"/>
    <w:rsid w:val="00B8614B"/>
    <w:rsid w:val="00BA6043"/>
    <w:rsid w:val="00BC3727"/>
    <w:rsid w:val="00BC5B53"/>
    <w:rsid w:val="00C26BB5"/>
    <w:rsid w:val="00C55FCB"/>
    <w:rsid w:val="00CB379B"/>
    <w:rsid w:val="00CE7012"/>
    <w:rsid w:val="00D234FE"/>
    <w:rsid w:val="00D329C6"/>
    <w:rsid w:val="00D375CA"/>
    <w:rsid w:val="00D752D4"/>
    <w:rsid w:val="00DA7306"/>
    <w:rsid w:val="00DE65B5"/>
    <w:rsid w:val="00E02A9D"/>
    <w:rsid w:val="00E072B7"/>
    <w:rsid w:val="00E43B5C"/>
    <w:rsid w:val="00E45BE2"/>
    <w:rsid w:val="00E842D2"/>
    <w:rsid w:val="00E93021"/>
    <w:rsid w:val="00EA6B89"/>
    <w:rsid w:val="00EB2727"/>
    <w:rsid w:val="00EC34D0"/>
    <w:rsid w:val="00ED37DB"/>
    <w:rsid w:val="00F073A8"/>
    <w:rsid w:val="00F15A48"/>
    <w:rsid w:val="00F47A0C"/>
    <w:rsid w:val="00F60E44"/>
    <w:rsid w:val="00F61C0B"/>
    <w:rsid w:val="00F64842"/>
    <w:rsid w:val="00F90E21"/>
    <w:rsid w:val="00F92F78"/>
    <w:rsid w:val="00FC2511"/>
    <w:rsid w:val="00FF2D2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6B497D-D19A-48F8-8F11-A11AA293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val="fr-FR"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val="fr-FR"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val="fr-FR"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Listecouleur-Accent1">
    <w:name w:val="Colorful List Accent 1"/>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styleId="En-tte">
    <w:name w:val="header"/>
    <w:basedOn w:val="Normal"/>
    <w:link w:val="En-tteCar"/>
    <w:uiPriority w:val="99"/>
    <w:unhideWhenUsed/>
    <w:rsid w:val="00EA6B89"/>
    <w:pPr>
      <w:tabs>
        <w:tab w:val="center" w:pos="4536"/>
        <w:tab w:val="right" w:pos="9072"/>
      </w:tabs>
    </w:pPr>
  </w:style>
  <w:style w:type="character" w:customStyle="1" w:styleId="En-tteCar">
    <w:name w:val="En-tête Car"/>
    <w:link w:val="En-tte"/>
    <w:uiPriority w:val="99"/>
    <w:rsid w:val="00EA6B89"/>
    <w:rPr>
      <w:sz w:val="22"/>
      <w:szCs w:val="22"/>
      <w:lang w:eastAsia="en-US"/>
    </w:rPr>
  </w:style>
  <w:style w:type="paragraph" w:styleId="Pieddepage">
    <w:name w:val="footer"/>
    <w:basedOn w:val="Normal"/>
    <w:link w:val="PieddepageCar"/>
    <w:uiPriority w:val="99"/>
    <w:unhideWhenUsed/>
    <w:rsid w:val="00EA6B89"/>
    <w:pPr>
      <w:tabs>
        <w:tab w:val="center" w:pos="4536"/>
        <w:tab w:val="right" w:pos="9072"/>
      </w:tabs>
    </w:pPr>
  </w:style>
  <w:style w:type="character" w:customStyle="1" w:styleId="PieddepageCar">
    <w:name w:val="Pied de page Car"/>
    <w:link w:val="Pieddepage"/>
    <w:uiPriority w:val="99"/>
    <w:rsid w:val="00EA6B89"/>
    <w:rPr>
      <w:sz w:val="22"/>
      <w:szCs w:val="22"/>
      <w:lang w:eastAsia="en-US"/>
    </w:rPr>
  </w:style>
  <w:style w:type="paragraph" w:customStyle="1" w:styleId="defaut">
    <w:name w:val="defaut"/>
    <w:rsid w:val="000B1E25"/>
    <w:rPr>
      <w:rFonts w:ascii="Courier New" w:eastAsia="Times New Roman" w:hAnsi="Courier New"/>
      <w:noProof/>
      <w:sz w:val="24"/>
      <w:lang w:val="fr-FR" w:eastAsia="fr-FR"/>
    </w:rPr>
  </w:style>
  <w:style w:type="paragraph" w:styleId="Notedebasdepage">
    <w:name w:val="footnote text"/>
    <w:basedOn w:val="Normal"/>
    <w:link w:val="NotedebasdepageCar"/>
    <w:uiPriority w:val="99"/>
    <w:semiHidden/>
    <w:unhideWhenUsed/>
    <w:rsid w:val="00A36326"/>
    <w:rPr>
      <w:sz w:val="20"/>
      <w:szCs w:val="20"/>
    </w:rPr>
  </w:style>
  <w:style w:type="character" w:customStyle="1" w:styleId="NotedebasdepageCar">
    <w:name w:val="Note de bas de page Car"/>
    <w:link w:val="Notedebasdepage"/>
    <w:uiPriority w:val="99"/>
    <w:semiHidden/>
    <w:rsid w:val="00A36326"/>
    <w:rPr>
      <w:lang w:eastAsia="en-US"/>
    </w:rPr>
  </w:style>
  <w:style w:type="character" w:styleId="Appelnotedebasdep">
    <w:name w:val="footnote reference"/>
    <w:aliases w:val="Footnote symbol"/>
    <w:unhideWhenUsed/>
    <w:rsid w:val="00A36326"/>
    <w:rPr>
      <w:vertAlign w:val="superscript"/>
    </w:rPr>
  </w:style>
  <w:style w:type="character" w:styleId="Marquedecommentaire">
    <w:name w:val="annotation reference"/>
    <w:uiPriority w:val="99"/>
    <w:semiHidden/>
    <w:unhideWhenUsed/>
    <w:rsid w:val="00902F92"/>
    <w:rPr>
      <w:sz w:val="16"/>
      <w:szCs w:val="16"/>
    </w:rPr>
  </w:style>
  <w:style w:type="paragraph" w:customStyle="1" w:styleId="Pa14">
    <w:name w:val="Pa14"/>
    <w:basedOn w:val="Normal"/>
    <w:next w:val="Normal"/>
    <w:uiPriority w:val="99"/>
    <w:rsid w:val="00637D91"/>
    <w:pPr>
      <w:autoSpaceDE w:val="0"/>
      <w:autoSpaceDN w:val="0"/>
      <w:adjustRightInd w:val="0"/>
      <w:spacing w:after="0" w:line="201" w:lineRule="atLeast"/>
    </w:pPr>
    <w:rPr>
      <w:rFonts w:ascii="Times New Roman" w:hAnsi="Times New Roman"/>
      <w:sz w:val="24"/>
      <w:szCs w:val="24"/>
      <w:lang w:val="de-DE"/>
    </w:rPr>
  </w:style>
  <w:style w:type="paragraph" w:styleId="Textedebulles">
    <w:name w:val="Balloon Text"/>
    <w:basedOn w:val="Normal"/>
    <w:link w:val="TextedebullesCar"/>
    <w:uiPriority w:val="99"/>
    <w:semiHidden/>
    <w:unhideWhenUsed/>
    <w:rsid w:val="001A2A97"/>
    <w:pPr>
      <w:spacing w:after="0" w:line="240" w:lineRule="auto"/>
    </w:pPr>
    <w:rPr>
      <w:rFonts w:ascii="Lucida Grande" w:hAnsi="Lucida Grande"/>
      <w:sz w:val="18"/>
      <w:szCs w:val="18"/>
    </w:rPr>
  </w:style>
  <w:style w:type="character" w:customStyle="1" w:styleId="TextedebullesCar">
    <w:name w:val="Texte de bulles Car"/>
    <w:link w:val="Textedebulles"/>
    <w:uiPriority w:val="99"/>
    <w:semiHidden/>
    <w:rsid w:val="001A2A9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DP7401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7401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/sftpecos/Dossiers_parlementaires/7401/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09AA7021-A726-4855-B06F-05E975740BBD}">
  <ds:schemaRefs>
    <ds:schemaRef ds:uri="http://schemas.openxmlformats.org/officeDocument/2006/bibliography"/>
  </ds:schemaRefs>
</ds:datastoreItem>
</file>

<file path=customXml/itemProps2.xml><?xml version="1.0" encoding="utf-8"?>
<ds:datastoreItem xmlns:ds="http://schemas.openxmlformats.org/officeDocument/2006/customXml" ds:itemID="{C291EAB3-4E00-47ED-9B65-F387AED1BBE5}"/>
</file>

<file path=customXml/itemProps3.xml><?xml version="1.0" encoding="utf-8"?>
<ds:datastoreItem xmlns:ds="http://schemas.openxmlformats.org/officeDocument/2006/customXml" ds:itemID="{FCCE223C-D706-4CB3-9EF3-00E3F455D2FF}"/>
</file>

<file path=customXml/itemProps4.xml><?xml version="1.0" encoding="utf-8"?>
<ds:datastoreItem xmlns:ds="http://schemas.openxmlformats.org/officeDocument/2006/customXml" ds:itemID="{EA23675E-6868-41C1-862B-5222BAACA875}"/>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2618</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Caroline Guezennec</dc:creator>
  <cp:keywords/>
  <dc:description/>
  <cp:lastModifiedBy>SYSTEM</cp:lastModifiedBy>
  <cp:revision>2</cp:revision>
  <cp:lastPrinted>2019-03-18T08:51:00Z</cp:lastPrinted>
  <dcterms:created xsi:type="dcterms:W3CDTF">2024-02-21T07:54:00Z</dcterms:created>
  <dcterms:modified xsi:type="dcterms:W3CDTF">2024-02-21T07:54:00Z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