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B2" w:rsidRPr="009109B2" w:rsidRDefault="009109B2" w:rsidP="009109B2">
      <w:pPr>
        <w:autoSpaceDE w:val="0"/>
        <w:autoSpaceDN w:val="0"/>
        <w:adjustRightInd w:val="0"/>
        <w:spacing w:after="0" w:line="240" w:lineRule="auto"/>
        <w:rPr>
          <w:rFonts w:ascii="Arial" w:hAnsi="Arial" w:cs="Arial"/>
          <w:color w:val="000000"/>
          <w:sz w:val="24"/>
          <w:szCs w:val="24"/>
        </w:rPr>
      </w:pPr>
      <w:bookmarkStart w:id="0" w:name="_GoBack"/>
      <w:bookmarkEnd w:id="0"/>
    </w:p>
    <w:p w:rsidR="009109B2" w:rsidRPr="009109B2" w:rsidRDefault="009109B2" w:rsidP="009109B2">
      <w:pPr>
        <w:autoSpaceDE w:val="0"/>
        <w:autoSpaceDN w:val="0"/>
        <w:adjustRightInd w:val="0"/>
        <w:spacing w:after="100" w:line="321" w:lineRule="atLeast"/>
        <w:jc w:val="center"/>
        <w:rPr>
          <w:rFonts w:ascii="Arial" w:hAnsi="Arial" w:cs="Arial"/>
          <w:color w:val="000000"/>
          <w:sz w:val="32"/>
          <w:szCs w:val="32"/>
        </w:rPr>
      </w:pPr>
      <w:r w:rsidRPr="009109B2">
        <w:rPr>
          <w:rFonts w:ascii="Arial" w:hAnsi="Arial" w:cs="Arial"/>
          <w:b/>
          <w:bCs/>
          <w:color w:val="000000"/>
          <w:sz w:val="32"/>
          <w:szCs w:val="32"/>
        </w:rPr>
        <w:t>N</w:t>
      </w:r>
      <w:r w:rsidRPr="009109B2">
        <w:rPr>
          <w:rFonts w:ascii="Arial" w:hAnsi="Arial" w:cs="Arial"/>
          <w:b/>
          <w:bCs/>
          <w:color w:val="000000"/>
          <w:position w:val="10"/>
          <w:sz w:val="21"/>
          <w:szCs w:val="21"/>
          <w:vertAlign w:val="superscript"/>
        </w:rPr>
        <w:t xml:space="preserve">o </w:t>
      </w:r>
      <w:r w:rsidRPr="009109B2">
        <w:rPr>
          <w:rFonts w:ascii="Arial" w:hAnsi="Arial" w:cs="Arial"/>
          <w:b/>
          <w:bCs/>
          <w:color w:val="000000"/>
          <w:sz w:val="32"/>
          <w:szCs w:val="32"/>
        </w:rPr>
        <w:t xml:space="preserve">7397 </w:t>
      </w:r>
    </w:p>
    <w:p w:rsidR="009109B2" w:rsidRPr="009109B2" w:rsidRDefault="009109B2" w:rsidP="009109B2">
      <w:pPr>
        <w:autoSpaceDE w:val="0"/>
        <w:autoSpaceDN w:val="0"/>
        <w:adjustRightInd w:val="0"/>
        <w:spacing w:after="20" w:line="281" w:lineRule="atLeast"/>
        <w:jc w:val="center"/>
        <w:rPr>
          <w:rFonts w:ascii="Arial" w:hAnsi="Arial" w:cs="Arial"/>
          <w:color w:val="000000"/>
          <w:sz w:val="28"/>
          <w:szCs w:val="28"/>
        </w:rPr>
      </w:pPr>
      <w:r w:rsidRPr="009109B2">
        <w:rPr>
          <w:rFonts w:ascii="Arial" w:hAnsi="Arial" w:cs="Arial"/>
          <w:color w:val="000000"/>
          <w:sz w:val="28"/>
          <w:szCs w:val="28"/>
        </w:rPr>
        <w:t>CHAMBRE DES DEPUTES</w:t>
      </w:r>
    </w:p>
    <w:p w:rsidR="009109B2" w:rsidRPr="009109B2" w:rsidRDefault="009109B2" w:rsidP="009109B2">
      <w:pPr>
        <w:autoSpaceDE w:val="0"/>
        <w:autoSpaceDN w:val="0"/>
        <w:adjustRightInd w:val="0"/>
        <w:spacing w:after="20" w:line="201" w:lineRule="atLeast"/>
        <w:jc w:val="center"/>
        <w:rPr>
          <w:rFonts w:ascii="Arial" w:hAnsi="Arial" w:cs="Arial"/>
          <w:color w:val="000000"/>
          <w:sz w:val="20"/>
          <w:szCs w:val="20"/>
        </w:rPr>
      </w:pPr>
      <w:r w:rsidRPr="009109B2">
        <w:rPr>
          <w:rFonts w:ascii="Arial" w:hAnsi="Arial" w:cs="Arial"/>
          <w:color w:val="000000"/>
          <w:sz w:val="20"/>
          <w:szCs w:val="20"/>
        </w:rPr>
        <w:t>Session ordinaire 2018-2019</w:t>
      </w:r>
    </w:p>
    <w:p w:rsidR="009109B2" w:rsidRPr="009109B2" w:rsidRDefault="009109B2" w:rsidP="009109B2">
      <w:pPr>
        <w:autoSpaceDE w:val="0"/>
        <w:autoSpaceDN w:val="0"/>
        <w:adjustRightInd w:val="0"/>
        <w:spacing w:before="440" w:after="140" w:line="361" w:lineRule="atLeast"/>
        <w:jc w:val="center"/>
        <w:rPr>
          <w:rFonts w:ascii="Arial" w:hAnsi="Arial" w:cs="Arial"/>
          <w:color w:val="000000"/>
          <w:sz w:val="36"/>
          <w:szCs w:val="36"/>
        </w:rPr>
      </w:pPr>
      <w:r w:rsidRPr="009109B2">
        <w:rPr>
          <w:rFonts w:ascii="Arial" w:hAnsi="Arial" w:cs="Arial"/>
          <w:b/>
          <w:bCs/>
          <w:color w:val="000000"/>
          <w:sz w:val="36"/>
          <w:szCs w:val="36"/>
        </w:rPr>
        <w:t>DEBAT D’ORIENTATION</w:t>
      </w:r>
    </w:p>
    <w:p w:rsidR="009109B2" w:rsidRPr="009109B2" w:rsidRDefault="009109B2" w:rsidP="009109B2">
      <w:pPr>
        <w:autoSpaceDE w:val="0"/>
        <w:autoSpaceDN w:val="0"/>
        <w:adjustRightInd w:val="0"/>
        <w:spacing w:after="40" w:line="201" w:lineRule="atLeast"/>
        <w:jc w:val="center"/>
        <w:rPr>
          <w:rFonts w:ascii="Arial" w:hAnsi="Arial" w:cs="Arial"/>
          <w:b/>
          <w:bCs/>
          <w:color w:val="000000"/>
          <w:sz w:val="20"/>
          <w:szCs w:val="20"/>
        </w:rPr>
      </w:pPr>
      <w:r w:rsidRPr="009109B2">
        <w:rPr>
          <w:rFonts w:ascii="Arial" w:hAnsi="Arial" w:cs="Arial"/>
          <w:b/>
          <w:bCs/>
          <w:color w:val="000000"/>
          <w:sz w:val="20"/>
          <w:szCs w:val="20"/>
        </w:rPr>
        <w:t>sur le financement des grands projets d’infrastructure</w:t>
      </w:r>
    </w:p>
    <w:p w:rsidR="009109B2" w:rsidRPr="009109B2" w:rsidRDefault="009109B2" w:rsidP="009109B2">
      <w:pPr>
        <w:autoSpaceDE w:val="0"/>
        <w:autoSpaceDN w:val="0"/>
        <w:adjustRightInd w:val="0"/>
        <w:spacing w:after="40" w:line="201" w:lineRule="atLeast"/>
        <w:jc w:val="center"/>
        <w:rPr>
          <w:rFonts w:ascii="Arial" w:hAnsi="Arial" w:cs="Arial"/>
          <w:color w:val="000000"/>
          <w:sz w:val="20"/>
          <w:szCs w:val="20"/>
        </w:rPr>
      </w:pPr>
      <w:r w:rsidRPr="009109B2">
        <w:rPr>
          <w:rFonts w:ascii="Arial" w:hAnsi="Arial" w:cs="Arial"/>
          <w:b/>
          <w:bCs/>
          <w:color w:val="000000"/>
          <w:sz w:val="20"/>
          <w:szCs w:val="20"/>
        </w:rPr>
        <w:t xml:space="preserve">réalisés par l’État </w:t>
      </w:r>
    </w:p>
    <w:p w:rsidR="009109B2" w:rsidRPr="009109B2" w:rsidRDefault="009109B2" w:rsidP="009109B2">
      <w:pPr>
        <w:autoSpaceDE w:val="0"/>
        <w:autoSpaceDN w:val="0"/>
        <w:adjustRightInd w:val="0"/>
        <w:spacing w:before="160" w:after="220" w:line="201" w:lineRule="atLeast"/>
        <w:jc w:val="center"/>
        <w:rPr>
          <w:rFonts w:ascii="Arial" w:hAnsi="Arial" w:cs="Arial"/>
          <w:color w:val="000000"/>
          <w:sz w:val="20"/>
          <w:szCs w:val="20"/>
        </w:rPr>
      </w:pPr>
      <w:r w:rsidRPr="009109B2">
        <w:rPr>
          <w:rFonts w:ascii="Arial" w:hAnsi="Arial" w:cs="Arial"/>
          <w:color w:val="000000"/>
          <w:sz w:val="20"/>
          <w:szCs w:val="20"/>
        </w:rPr>
        <w:t>* * *</w:t>
      </w:r>
    </w:p>
    <w:p w:rsidR="009109B2" w:rsidRPr="009109B2" w:rsidRDefault="009109B2" w:rsidP="009109B2">
      <w:pPr>
        <w:autoSpaceDE w:val="0"/>
        <w:autoSpaceDN w:val="0"/>
        <w:adjustRightInd w:val="0"/>
        <w:spacing w:after="20" w:line="221" w:lineRule="atLeast"/>
        <w:jc w:val="center"/>
        <w:rPr>
          <w:rFonts w:ascii="Arial" w:hAnsi="Arial" w:cs="Arial"/>
          <w:color w:val="000000"/>
        </w:rPr>
      </w:pPr>
      <w:r w:rsidRPr="009109B2">
        <w:rPr>
          <w:rFonts w:ascii="Arial" w:hAnsi="Arial" w:cs="Arial"/>
          <w:b/>
          <w:bCs/>
          <w:color w:val="000000"/>
        </w:rPr>
        <w:t>PAPIER DE DISCUSSION</w:t>
      </w:r>
    </w:p>
    <w:p w:rsidR="009109B2" w:rsidRDefault="009109B2" w:rsidP="009109B2">
      <w:pPr>
        <w:autoSpaceDE w:val="0"/>
        <w:autoSpaceDN w:val="0"/>
        <w:adjustRightInd w:val="0"/>
        <w:spacing w:before="120" w:after="120" w:line="240" w:lineRule="auto"/>
        <w:ind w:firstLine="220"/>
        <w:jc w:val="both"/>
        <w:rPr>
          <w:rFonts w:ascii="Arial" w:hAnsi="Arial" w:cs="Arial"/>
          <w:color w:val="000000"/>
          <w:sz w:val="20"/>
          <w:szCs w:val="20"/>
        </w:rPr>
      </w:pPr>
    </w:p>
    <w:p w:rsidR="009109B2" w:rsidRPr="009109B2" w:rsidRDefault="009109B2" w:rsidP="009109B2">
      <w:pPr>
        <w:autoSpaceDE w:val="0"/>
        <w:autoSpaceDN w:val="0"/>
        <w:adjustRightInd w:val="0"/>
        <w:spacing w:before="120" w:after="120" w:line="240" w:lineRule="auto"/>
        <w:ind w:firstLine="220"/>
        <w:jc w:val="center"/>
        <w:rPr>
          <w:rFonts w:ascii="Arial" w:hAnsi="Arial" w:cs="Arial"/>
          <w:b/>
          <w:color w:val="000000"/>
          <w:sz w:val="20"/>
          <w:szCs w:val="20"/>
        </w:rPr>
      </w:pPr>
      <w:r w:rsidRPr="009109B2">
        <w:rPr>
          <w:rFonts w:ascii="Arial" w:hAnsi="Arial" w:cs="Arial"/>
          <w:b/>
          <w:color w:val="000000"/>
          <w:sz w:val="20"/>
          <w:szCs w:val="20"/>
        </w:rPr>
        <w:t>RESUME</w:t>
      </w:r>
    </w:p>
    <w:p w:rsidR="009109B2" w:rsidRPr="009109B2" w:rsidRDefault="009109B2" w:rsidP="009109B2">
      <w:pPr>
        <w:autoSpaceDE w:val="0"/>
        <w:autoSpaceDN w:val="0"/>
        <w:adjustRightInd w:val="0"/>
        <w:spacing w:before="120" w:after="120" w:line="240" w:lineRule="auto"/>
        <w:ind w:firstLine="220"/>
        <w:jc w:val="both"/>
        <w:rPr>
          <w:rFonts w:ascii="Arial" w:hAnsi="Arial" w:cs="Arial"/>
          <w:color w:val="000000"/>
          <w:sz w:val="20"/>
          <w:szCs w:val="20"/>
        </w:rPr>
      </w:pPr>
      <w:r w:rsidRPr="009109B2">
        <w:rPr>
          <w:rFonts w:ascii="Arial" w:hAnsi="Arial" w:cs="Arial"/>
          <w:color w:val="000000"/>
          <w:sz w:val="20"/>
          <w:szCs w:val="20"/>
        </w:rPr>
        <w:t xml:space="preserve">Afin d’optimiser le suivi financier des grands projets d’infrastructure réalisés par l’État et de renforcer les droits de participation et de contrôle de la Chambre des Députés, la Commission du Contrôle de l’exécution budgétaire a décidé en 2006 une nouvelle procédure à suivre en matière de préparation et de présentation de nouveaux projets d’infrastructure dépassant le seuil de 7,5 millions d’euros. Ensuite, en 2009, ce seuil a été levé à 10 millions d’euros. La liste des nouveaux projets d’infrastructure doit ainsi être soumise à l’approbation de la Chambre des Députés permettant par ce biais l’imputation des dépenses pour frais d’études à charge des divers fonds d’investissement. La Commission du Contrôle de l’exécution budgétaire doit quant à elle garantir le suivi financier de chaque projet dépassant le coût de 10 millions d’euros. Pour tout projet dépassant les 40 millions d’euros, une loi spéciale de financement devra être élaborée. </w:t>
      </w:r>
    </w:p>
    <w:p w:rsidR="009109B2" w:rsidRPr="009109B2" w:rsidRDefault="009109B2" w:rsidP="009109B2">
      <w:pPr>
        <w:autoSpaceDE w:val="0"/>
        <w:autoSpaceDN w:val="0"/>
        <w:adjustRightInd w:val="0"/>
        <w:spacing w:before="120" w:after="120" w:line="240" w:lineRule="auto"/>
        <w:ind w:firstLine="220"/>
        <w:jc w:val="both"/>
        <w:rPr>
          <w:rFonts w:ascii="Arial" w:hAnsi="Arial" w:cs="Arial"/>
          <w:color w:val="000000"/>
          <w:sz w:val="20"/>
          <w:szCs w:val="20"/>
        </w:rPr>
      </w:pPr>
      <w:r>
        <w:rPr>
          <w:rFonts w:ascii="Arial" w:hAnsi="Arial" w:cs="Arial"/>
          <w:color w:val="000000"/>
          <w:sz w:val="20"/>
          <w:szCs w:val="20"/>
        </w:rPr>
        <w:t>La</w:t>
      </w:r>
      <w:r w:rsidRPr="009109B2">
        <w:rPr>
          <w:rFonts w:ascii="Arial" w:hAnsi="Arial" w:cs="Arial"/>
          <w:color w:val="000000"/>
          <w:sz w:val="20"/>
          <w:szCs w:val="20"/>
        </w:rPr>
        <w:t xml:space="preserve"> liste des projets d’infrastructure</w:t>
      </w:r>
      <w:r>
        <w:rPr>
          <w:rFonts w:ascii="Arial" w:hAnsi="Arial" w:cs="Arial"/>
          <w:color w:val="000000"/>
          <w:sz w:val="20"/>
          <w:szCs w:val="20"/>
        </w:rPr>
        <w:t xml:space="preserve"> soumis </w:t>
      </w:r>
      <w:r w:rsidRPr="009109B2">
        <w:rPr>
          <w:rFonts w:ascii="Arial" w:hAnsi="Arial" w:cs="Arial"/>
          <w:color w:val="000000"/>
          <w:sz w:val="20"/>
          <w:szCs w:val="20"/>
        </w:rPr>
        <w:t>à l’approbation de la Chambre des Députés</w:t>
      </w:r>
      <w:r>
        <w:rPr>
          <w:rFonts w:ascii="Arial" w:hAnsi="Arial" w:cs="Arial"/>
          <w:color w:val="000000"/>
          <w:sz w:val="20"/>
          <w:szCs w:val="20"/>
        </w:rPr>
        <w:t xml:space="preserve"> est :</w:t>
      </w:r>
      <w:r w:rsidRPr="009109B2">
        <w:rPr>
          <w:rFonts w:ascii="Arial" w:hAnsi="Arial" w:cs="Arial"/>
          <w:color w:val="000000"/>
          <w:sz w:val="20"/>
          <w:szCs w:val="20"/>
        </w:rPr>
        <w:t xml:space="preserve"> </w:t>
      </w:r>
    </w:p>
    <w:p w:rsidR="009109B2" w:rsidRPr="009109B2" w:rsidRDefault="009109B2" w:rsidP="009109B2">
      <w:pPr>
        <w:autoSpaceDE w:val="0"/>
        <w:autoSpaceDN w:val="0"/>
        <w:adjustRightInd w:val="0"/>
        <w:spacing w:before="120" w:after="120" w:line="240" w:lineRule="auto"/>
        <w:jc w:val="both"/>
        <w:rPr>
          <w:rFonts w:ascii="Arial" w:hAnsi="Arial" w:cs="Arial"/>
          <w:color w:val="000000"/>
          <w:sz w:val="20"/>
          <w:szCs w:val="20"/>
        </w:rPr>
      </w:pPr>
      <w:r w:rsidRPr="009109B2">
        <w:rPr>
          <w:rFonts w:ascii="Arial" w:hAnsi="Arial" w:cs="Arial"/>
          <w:b/>
          <w:bCs/>
          <w:color w:val="000000"/>
          <w:sz w:val="20"/>
          <w:szCs w:val="20"/>
        </w:rPr>
        <w:t xml:space="preserve">1. Projets du Fonds d’investissements publics administratifs </w:t>
      </w:r>
    </w:p>
    <w:p w:rsidR="009109B2" w:rsidRPr="009109B2" w:rsidRDefault="009109B2" w:rsidP="009109B2">
      <w:pPr>
        <w:autoSpaceDE w:val="0"/>
        <w:autoSpaceDN w:val="0"/>
        <w:adjustRightInd w:val="0"/>
        <w:spacing w:before="120" w:after="120" w:line="240" w:lineRule="auto"/>
        <w:jc w:val="both"/>
        <w:rPr>
          <w:rFonts w:ascii="Arial" w:hAnsi="Arial" w:cs="Arial"/>
          <w:b/>
          <w:bCs/>
          <w:i/>
          <w:iCs/>
          <w:color w:val="000000"/>
          <w:sz w:val="20"/>
          <w:szCs w:val="20"/>
        </w:rPr>
      </w:pPr>
      <w:r w:rsidRPr="009109B2">
        <w:rPr>
          <w:rFonts w:ascii="Arial" w:hAnsi="Arial" w:cs="Arial"/>
          <w:b/>
          <w:bCs/>
          <w:i/>
          <w:iCs/>
          <w:color w:val="000000"/>
          <w:sz w:val="20"/>
          <w:szCs w:val="20"/>
        </w:rPr>
        <w:t>Administration des contributions directes, Luxembourg</w:t>
      </w:r>
    </w:p>
    <w:p w:rsidR="009109B2"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Construction d’une nouvelle Tour de contrôle au Findel</w:t>
      </w:r>
    </w:p>
    <w:p w:rsidR="009109B2" w:rsidRPr="009109B2" w:rsidRDefault="009109B2" w:rsidP="009109B2">
      <w:pPr>
        <w:spacing w:before="120" w:after="120" w:line="240" w:lineRule="auto"/>
        <w:jc w:val="both"/>
        <w:rPr>
          <w:rFonts w:ascii="Arial" w:hAnsi="Arial" w:cs="Arial"/>
          <w:b/>
          <w:bCs/>
          <w:color w:val="000000"/>
          <w:sz w:val="20"/>
          <w:szCs w:val="20"/>
        </w:rPr>
      </w:pPr>
      <w:bookmarkStart w:id="1" w:name="_Hlk271550"/>
      <w:r w:rsidRPr="009109B2">
        <w:rPr>
          <w:rFonts w:ascii="Arial" w:hAnsi="Arial" w:cs="Arial"/>
          <w:b/>
          <w:bCs/>
          <w:color w:val="000000"/>
          <w:sz w:val="20"/>
          <w:szCs w:val="20"/>
        </w:rPr>
        <w:t>2. Projets du Fonds d’investissements publics scolaires</w:t>
      </w:r>
      <w:bookmarkEnd w:id="1"/>
    </w:p>
    <w:p w:rsidR="009109B2"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Extension du Lycée Technique d’Esch-sur-Alzette</w:t>
      </w:r>
    </w:p>
    <w:p w:rsidR="009109B2"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Extension de l’École européenne, Luxembourg-Kirchberg</w:t>
      </w:r>
    </w:p>
    <w:p w:rsidR="009109B2" w:rsidRPr="009109B2" w:rsidRDefault="009109B2" w:rsidP="009109B2">
      <w:pPr>
        <w:spacing w:before="120" w:after="120" w:line="240" w:lineRule="auto"/>
        <w:jc w:val="both"/>
        <w:rPr>
          <w:rFonts w:ascii="Arial" w:hAnsi="Arial" w:cs="Arial"/>
          <w:b/>
          <w:bCs/>
          <w:color w:val="000000"/>
          <w:sz w:val="20"/>
          <w:szCs w:val="20"/>
        </w:rPr>
      </w:pPr>
      <w:r w:rsidRPr="009109B2">
        <w:rPr>
          <w:rFonts w:ascii="Arial" w:hAnsi="Arial" w:cs="Arial"/>
          <w:b/>
          <w:bCs/>
          <w:color w:val="000000"/>
          <w:sz w:val="20"/>
          <w:szCs w:val="20"/>
        </w:rPr>
        <w:t>3. Projets du Fonds d’investissements publics sanitaires et sociaux</w:t>
      </w:r>
    </w:p>
    <w:p w:rsidR="009109B2"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Unité de psychiatrie spéciale judiciaire, </w:t>
      </w:r>
      <w:proofErr w:type="spellStart"/>
      <w:r w:rsidRPr="009109B2">
        <w:rPr>
          <w:rFonts w:ascii="Arial" w:hAnsi="Arial" w:cs="Arial"/>
          <w:b/>
          <w:i/>
          <w:color w:val="000000"/>
          <w:sz w:val="20"/>
          <w:szCs w:val="20"/>
        </w:rPr>
        <w:t>Schrassig</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Centre socio-éducatif de l’État, </w:t>
      </w:r>
      <w:proofErr w:type="spellStart"/>
      <w:r w:rsidRPr="009109B2">
        <w:rPr>
          <w:rFonts w:ascii="Arial" w:hAnsi="Arial" w:cs="Arial"/>
          <w:b/>
          <w:i/>
          <w:color w:val="000000"/>
          <w:sz w:val="20"/>
          <w:szCs w:val="20"/>
        </w:rPr>
        <w:t>Schrassig</w:t>
      </w:r>
      <w:proofErr w:type="spellEnd"/>
    </w:p>
    <w:p w:rsidR="009109B2"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Centre socio-éducatif de l’État, </w:t>
      </w:r>
      <w:proofErr w:type="spellStart"/>
      <w:r w:rsidRPr="009109B2">
        <w:rPr>
          <w:rFonts w:ascii="Arial" w:hAnsi="Arial" w:cs="Arial"/>
          <w:b/>
          <w:i/>
          <w:color w:val="000000"/>
          <w:sz w:val="20"/>
          <w:szCs w:val="20"/>
        </w:rPr>
        <w:t>Dreiborn</w:t>
      </w:r>
      <w:proofErr w:type="spellEnd"/>
    </w:p>
    <w:p w:rsidR="009109B2" w:rsidRPr="009109B2" w:rsidRDefault="009109B2" w:rsidP="009109B2">
      <w:pPr>
        <w:spacing w:before="120" w:after="120" w:line="240" w:lineRule="auto"/>
        <w:jc w:val="both"/>
        <w:rPr>
          <w:rFonts w:ascii="Arial" w:hAnsi="Arial" w:cs="Arial"/>
          <w:b/>
          <w:bCs/>
          <w:color w:val="000000"/>
          <w:sz w:val="20"/>
          <w:szCs w:val="20"/>
        </w:rPr>
      </w:pPr>
      <w:r w:rsidRPr="009109B2">
        <w:rPr>
          <w:rFonts w:ascii="Arial" w:hAnsi="Arial" w:cs="Arial"/>
          <w:b/>
          <w:bCs/>
          <w:color w:val="000000"/>
          <w:sz w:val="20"/>
          <w:szCs w:val="20"/>
        </w:rPr>
        <w:t>4. Article budgétaire 51.4.72.023 (pavillons modulaires préfabriqués)</w:t>
      </w:r>
    </w:p>
    <w:p w:rsidR="009109B2" w:rsidRPr="009109B2" w:rsidRDefault="009109B2" w:rsidP="009109B2">
      <w:pPr>
        <w:spacing w:before="120" w:after="120" w:line="240" w:lineRule="auto"/>
        <w:jc w:val="both"/>
        <w:rPr>
          <w:rFonts w:ascii="Arial" w:hAnsi="Arial" w:cs="Arial"/>
          <w:b/>
          <w:i/>
          <w:color w:val="000000"/>
          <w:sz w:val="20"/>
          <w:szCs w:val="20"/>
          <w:lang w:val="de-LU"/>
        </w:rPr>
      </w:pPr>
      <w:r w:rsidRPr="009109B2">
        <w:rPr>
          <w:rFonts w:ascii="Arial" w:hAnsi="Arial" w:cs="Arial"/>
          <w:b/>
          <w:i/>
          <w:color w:val="000000"/>
          <w:sz w:val="20"/>
          <w:szCs w:val="20"/>
          <w:lang w:val="de-LU"/>
        </w:rPr>
        <w:t xml:space="preserve">Luxembourg Institute </w:t>
      </w:r>
      <w:proofErr w:type="spellStart"/>
      <w:r w:rsidRPr="009109B2">
        <w:rPr>
          <w:rFonts w:ascii="Arial" w:hAnsi="Arial" w:cs="Arial"/>
          <w:b/>
          <w:i/>
          <w:color w:val="000000"/>
          <w:sz w:val="20"/>
          <w:szCs w:val="20"/>
          <w:lang w:val="de-LU"/>
        </w:rPr>
        <w:t>of</w:t>
      </w:r>
      <w:proofErr w:type="spellEnd"/>
      <w:r w:rsidRPr="009109B2">
        <w:rPr>
          <w:rFonts w:ascii="Arial" w:hAnsi="Arial" w:cs="Arial"/>
          <w:b/>
          <w:i/>
          <w:color w:val="000000"/>
          <w:sz w:val="20"/>
          <w:szCs w:val="20"/>
          <w:lang w:val="de-LU"/>
        </w:rPr>
        <w:t xml:space="preserve"> </w:t>
      </w:r>
      <w:proofErr w:type="spellStart"/>
      <w:r w:rsidRPr="009109B2">
        <w:rPr>
          <w:rFonts w:ascii="Arial" w:hAnsi="Arial" w:cs="Arial"/>
          <w:b/>
          <w:i/>
          <w:color w:val="000000"/>
          <w:sz w:val="20"/>
          <w:szCs w:val="20"/>
          <w:lang w:val="de-LU"/>
        </w:rPr>
        <w:t>Health</w:t>
      </w:r>
      <w:proofErr w:type="spellEnd"/>
      <w:r w:rsidRPr="009109B2">
        <w:rPr>
          <w:rFonts w:ascii="Arial" w:hAnsi="Arial" w:cs="Arial"/>
          <w:b/>
          <w:i/>
          <w:color w:val="000000"/>
          <w:sz w:val="20"/>
          <w:szCs w:val="20"/>
          <w:lang w:val="de-LU"/>
        </w:rPr>
        <w:t xml:space="preserve"> (LIH), Luxembourg</w:t>
      </w:r>
    </w:p>
    <w:p w:rsidR="009109B2" w:rsidRPr="009109B2" w:rsidRDefault="009109B2" w:rsidP="009109B2">
      <w:pPr>
        <w:spacing w:before="120" w:after="120" w:line="240" w:lineRule="auto"/>
        <w:jc w:val="both"/>
        <w:rPr>
          <w:rFonts w:ascii="Arial" w:hAnsi="Arial" w:cs="Arial"/>
          <w:b/>
          <w:sz w:val="20"/>
          <w:szCs w:val="20"/>
        </w:rPr>
      </w:pPr>
      <w:r w:rsidRPr="009109B2">
        <w:rPr>
          <w:rFonts w:ascii="Arial" w:hAnsi="Arial" w:cs="Arial"/>
          <w:b/>
          <w:sz w:val="20"/>
          <w:szCs w:val="20"/>
        </w:rPr>
        <w:t>5. Projets du Fonds des Routes</w:t>
      </w:r>
    </w:p>
    <w:p w:rsidR="009109B2" w:rsidRPr="009109B2" w:rsidRDefault="009109B2" w:rsidP="009109B2">
      <w:pPr>
        <w:spacing w:before="120" w:after="120" w:line="240" w:lineRule="auto"/>
        <w:jc w:val="both"/>
        <w:rPr>
          <w:rFonts w:ascii="Arial" w:hAnsi="Arial" w:cs="Arial"/>
          <w:b/>
          <w:i/>
          <w:sz w:val="20"/>
          <w:szCs w:val="20"/>
        </w:rPr>
      </w:pPr>
      <w:r w:rsidRPr="009109B2">
        <w:rPr>
          <w:rFonts w:ascii="Arial" w:hAnsi="Arial" w:cs="Arial"/>
          <w:b/>
          <w:i/>
          <w:sz w:val="20"/>
          <w:szCs w:val="20"/>
        </w:rPr>
        <w:t xml:space="preserve">A7 - Couloir pour bus entre </w:t>
      </w:r>
      <w:proofErr w:type="spellStart"/>
      <w:r w:rsidRPr="009109B2">
        <w:rPr>
          <w:rFonts w:ascii="Arial" w:hAnsi="Arial" w:cs="Arial"/>
          <w:b/>
          <w:i/>
          <w:sz w:val="20"/>
          <w:szCs w:val="20"/>
        </w:rPr>
        <w:t>Waldhaff</w:t>
      </w:r>
      <w:proofErr w:type="spellEnd"/>
      <w:r w:rsidRPr="009109B2">
        <w:rPr>
          <w:rFonts w:ascii="Arial" w:hAnsi="Arial" w:cs="Arial"/>
          <w:b/>
          <w:i/>
          <w:sz w:val="20"/>
          <w:szCs w:val="20"/>
        </w:rPr>
        <w:t xml:space="preserve"> et Kirchberg</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N11 - Couloir pour bus entre </w:t>
      </w:r>
      <w:proofErr w:type="spellStart"/>
      <w:r w:rsidRPr="009109B2">
        <w:rPr>
          <w:rFonts w:ascii="Arial" w:hAnsi="Arial" w:cs="Arial"/>
          <w:b/>
          <w:i/>
          <w:color w:val="000000"/>
          <w:sz w:val="20"/>
          <w:szCs w:val="20"/>
        </w:rPr>
        <w:t>Gonderange</w:t>
      </w:r>
      <w:proofErr w:type="spellEnd"/>
      <w:r w:rsidRPr="009109B2">
        <w:rPr>
          <w:rFonts w:ascii="Arial" w:hAnsi="Arial" w:cs="Arial"/>
          <w:b/>
          <w:i/>
          <w:color w:val="000000"/>
          <w:sz w:val="20"/>
          <w:szCs w:val="20"/>
        </w:rPr>
        <w:t xml:space="preserve"> et </w:t>
      </w:r>
      <w:proofErr w:type="spellStart"/>
      <w:r w:rsidRPr="009109B2">
        <w:rPr>
          <w:rFonts w:ascii="Arial" w:hAnsi="Arial" w:cs="Arial"/>
          <w:b/>
          <w:i/>
          <w:color w:val="000000"/>
          <w:sz w:val="20"/>
          <w:szCs w:val="20"/>
        </w:rPr>
        <w:t>Waldhaff</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N11 - Réaménagement de la traversée de </w:t>
      </w:r>
      <w:proofErr w:type="spellStart"/>
      <w:r w:rsidRPr="009109B2">
        <w:rPr>
          <w:rFonts w:ascii="Arial" w:hAnsi="Arial" w:cs="Arial"/>
          <w:b/>
          <w:i/>
          <w:color w:val="000000"/>
          <w:sz w:val="20"/>
          <w:szCs w:val="20"/>
        </w:rPr>
        <w:t>Junglinster</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N10/E29/N11 - Voie de délestage à Echternach </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A1 - Réaménagement de l’échangeur </w:t>
      </w:r>
      <w:proofErr w:type="spellStart"/>
      <w:r w:rsidRPr="009109B2">
        <w:rPr>
          <w:rFonts w:ascii="Arial" w:hAnsi="Arial" w:cs="Arial"/>
          <w:b/>
          <w:i/>
          <w:color w:val="000000"/>
          <w:sz w:val="20"/>
          <w:szCs w:val="20"/>
        </w:rPr>
        <w:t>Senningerberg</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Boulevard du </w:t>
      </w:r>
      <w:proofErr w:type="spellStart"/>
      <w:r w:rsidRPr="009109B2">
        <w:rPr>
          <w:rFonts w:ascii="Arial" w:hAnsi="Arial" w:cs="Arial"/>
          <w:b/>
          <w:i/>
          <w:color w:val="000000"/>
          <w:sz w:val="20"/>
          <w:szCs w:val="20"/>
        </w:rPr>
        <w:t>Hoehenhof</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lastRenderedPageBreak/>
        <w:t>Voie de délestage et raccordement ZAE-CR102 avec réaménagement échangeur A6 Capellen</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Réaménagement A4/B4 et avenue du </w:t>
      </w:r>
      <w:proofErr w:type="spellStart"/>
      <w:r w:rsidRPr="009109B2">
        <w:rPr>
          <w:rFonts w:ascii="Arial" w:hAnsi="Arial" w:cs="Arial"/>
          <w:b/>
          <w:i/>
          <w:color w:val="000000"/>
          <w:sz w:val="20"/>
          <w:szCs w:val="20"/>
        </w:rPr>
        <w:t>Geesseknäppchen</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Nouvelle N4 » et routes étatiques dans le cadre du développement de la friche Arbed-Schifflange</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A4 - Voie pour tram rapide, BAU et covoiturage, échangeurs et couloir écologique </w:t>
      </w:r>
      <w:proofErr w:type="spellStart"/>
      <w:r w:rsidRPr="009109B2">
        <w:rPr>
          <w:rFonts w:ascii="Arial" w:hAnsi="Arial" w:cs="Arial"/>
          <w:b/>
          <w:i/>
          <w:color w:val="000000"/>
          <w:sz w:val="20"/>
          <w:szCs w:val="20"/>
        </w:rPr>
        <w:t>Leidelengerbesch</w:t>
      </w:r>
      <w:proofErr w:type="spellEnd"/>
      <w:r w:rsidRPr="009109B2">
        <w:rPr>
          <w:rFonts w:ascii="Arial" w:hAnsi="Arial" w:cs="Arial"/>
          <w:b/>
          <w:i/>
          <w:color w:val="000000"/>
          <w:sz w:val="20"/>
          <w:szCs w:val="20"/>
        </w:rPr>
        <w:t xml:space="preserve"> entre </w:t>
      </w:r>
      <w:proofErr w:type="spellStart"/>
      <w:r w:rsidRPr="009109B2">
        <w:rPr>
          <w:rFonts w:ascii="Arial" w:hAnsi="Arial" w:cs="Arial"/>
          <w:b/>
          <w:i/>
          <w:color w:val="000000"/>
          <w:sz w:val="20"/>
          <w:szCs w:val="20"/>
        </w:rPr>
        <w:t>Foetz</w:t>
      </w:r>
      <w:proofErr w:type="spellEnd"/>
      <w:r w:rsidRPr="009109B2">
        <w:rPr>
          <w:rFonts w:ascii="Arial" w:hAnsi="Arial" w:cs="Arial"/>
          <w:b/>
          <w:i/>
          <w:color w:val="000000"/>
          <w:sz w:val="20"/>
          <w:szCs w:val="20"/>
        </w:rPr>
        <w:t xml:space="preserve"> et </w:t>
      </w:r>
      <w:proofErr w:type="spellStart"/>
      <w:r w:rsidRPr="009109B2">
        <w:rPr>
          <w:rFonts w:ascii="Arial" w:hAnsi="Arial" w:cs="Arial"/>
          <w:b/>
          <w:i/>
          <w:color w:val="000000"/>
          <w:sz w:val="20"/>
          <w:szCs w:val="20"/>
        </w:rPr>
        <w:t>Leudelange</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N1 - Prolongement Tram Findel </w:t>
      </w:r>
      <w:proofErr w:type="spellStart"/>
      <w:r w:rsidRPr="009109B2">
        <w:rPr>
          <w:rFonts w:ascii="Arial" w:hAnsi="Arial" w:cs="Arial"/>
          <w:b/>
          <w:i/>
          <w:color w:val="000000"/>
          <w:sz w:val="20"/>
          <w:szCs w:val="20"/>
        </w:rPr>
        <w:t>Kalchesbréck</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N6 - Ligne de Tramway route d'Arlon</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N22 / CR304 - Axe de desserte / voie de délestage à </w:t>
      </w:r>
      <w:proofErr w:type="spellStart"/>
      <w:r w:rsidRPr="009109B2">
        <w:rPr>
          <w:rFonts w:ascii="Arial" w:hAnsi="Arial" w:cs="Arial"/>
          <w:b/>
          <w:i/>
          <w:color w:val="000000"/>
          <w:sz w:val="20"/>
          <w:szCs w:val="20"/>
        </w:rPr>
        <w:t>Redange</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N7 / CR115 / CR306 - Reconfiguration de carrefours dans le contexte de la Z.A. « </w:t>
      </w:r>
      <w:proofErr w:type="spellStart"/>
      <w:r w:rsidRPr="009109B2">
        <w:rPr>
          <w:rFonts w:ascii="Arial" w:hAnsi="Arial" w:cs="Arial"/>
          <w:b/>
          <w:i/>
          <w:color w:val="000000"/>
          <w:sz w:val="20"/>
          <w:szCs w:val="20"/>
        </w:rPr>
        <w:t>um</w:t>
      </w:r>
      <w:proofErr w:type="spellEnd"/>
      <w:r w:rsidRPr="009109B2">
        <w:rPr>
          <w:rFonts w:ascii="Arial" w:hAnsi="Arial" w:cs="Arial"/>
          <w:b/>
          <w:i/>
          <w:color w:val="000000"/>
          <w:sz w:val="20"/>
          <w:szCs w:val="20"/>
        </w:rPr>
        <w:t xml:space="preserve"> </w:t>
      </w:r>
      <w:proofErr w:type="spellStart"/>
      <w:r w:rsidRPr="009109B2">
        <w:rPr>
          <w:rFonts w:ascii="Arial" w:hAnsi="Arial" w:cs="Arial"/>
          <w:b/>
          <w:i/>
          <w:color w:val="000000"/>
          <w:sz w:val="20"/>
          <w:szCs w:val="20"/>
        </w:rPr>
        <w:t>Rouscht</w:t>
      </w:r>
      <w:proofErr w:type="spellEnd"/>
      <w:r w:rsidRPr="009109B2">
        <w:rPr>
          <w:rFonts w:ascii="Arial" w:hAnsi="Arial" w:cs="Arial"/>
          <w:b/>
          <w:i/>
          <w:color w:val="000000"/>
          <w:sz w:val="20"/>
          <w:szCs w:val="20"/>
        </w:rPr>
        <w:t xml:space="preserve"> » à </w:t>
      </w:r>
      <w:proofErr w:type="spellStart"/>
      <w:r w:rsidRPr="009109B2">
        <w:rPr>
          <w:rFonts w:ascii="Arial" w:hAnsi="Arial" w:cs="Arial"/>
          <w:b/>
          <w:i/>
          <w:color w:val="000000"/>
          <w:sz w:val="20"/>
          <w:szCs w:val="20"/>
        </w:rPr>
        <w:t>Bissen</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N7 / CR377 - Carrefour </w:t>
      </w:r>
      <w:proofErr w:type="spellStart"/>
      <w:r w:rsidRPr="009109B2">
        <w:rPr>
          <w:rFonts w:ascii="Arial" w:hAnsi="Arial" w:cs="Arial"/>
          <w:b/>
          <w:i/>
          <w:color w:val="000000"/>
          <w:sz w:val="20"/>
          <w:szCs w:val="20"/>
        </w:rPr>
        <w:t>Këppenhaff</w:t>
      </w:r>
      <w:proofErr w:type="spellEnd"/>
      <w:r w:rsidRPr="009109B2">
        <w:rPr>
          <w:rFonts w:ascii="Arial" w:hAnsi="Arial" w:cs="Arial"/>
          <w:b/>
          <w:i/>
          <w:color w:val="000000"/>
          <w:sz w:val="20"/>
          <w:szCs w:val="20"/>
        </w:rPr>
        <w:t xml:space="preserve"> avec accès Z.A. </w:t>
      </w:r>
      <w:proofErr w:type="spellStart"/>
      <w:r w:rsidRPr="009109B2">
        <w:rPr>
          <w:rFonts w:ascii="Arial" w:hAnsi="Arial" w:cs="Arial"/>
          <w:b/>
          <w:i/>
          <w:color w:val="000000"/>
          <w:sz w:val="20"/>
          <w:szCs w:val="20"/>
        </w:rPr>
        <w:t>Fléibur</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N7- Carrefour dénivelé à </w:t>
      </w:r>
      <w:proofErr w:type="spellStart"/>
      <w:r w:rsidRPr="009109B2">
        <w:rPr>
          <w:rFonts w:ascii="Arial" w:hAnsi="Arial" w:cs="Arial"/>
          <w:b/>
          <w:i/>
          <w:color w:val="000000"/>
          <w:sz w:val="20"/>
          <w:szCs w:val="20"/>
        </w:rPr>
        <w:t>Lipperscheid</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N10 - Redressement </w:t>
      </w:r>
      <w:proofErr w:type="spellStart"/>
      <w:r w:rsidRPr="009109B2">
        <w:rPr>
          <w:rFonts w:ascii="Arial" w:hAnsi="Arial" w:cs="Arial"/>
          <w:b/>
          <w:i/>
          <w:color w:val="000000"/>
          <w:sz w:val="20"/>
          <w:szCs w:val="20"/>
        </w:rPr>
        <w:t>Machtum-Ahn-Hëttermillen</w:t>
      </w:r>
      <w:proofErr w:type="spellEnd"/>
      <w:r w:rsidRPr="009109B2">
        <w:rPr>
          <w:rFonts w:ascii="Arial" w:hAnsi="Arial" w:cs="Arial"/>
          <w:b/>
          <w:i/>
          <w:color w:val="000000"/>
          <w:sz w:val="20"/>
          <w:szCs w:val="20"/>
        </w:rPr>
        <w:t xml:space="preserve"> et PC3</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OA 788 - Élargissement du viaduc « Passerelle » pour piste cyclable</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A13 / OA 1084 - </w:t>
      </w:r>
      <w:proofErr w:type="spellStart"/>
      <w:r w:rsidRPr="009109B2">
        <w:rPr>
          <w:rFonts w:ascii="Arial" w:hAnsi="Arial" w:cs="Arial"/>
          <w:b/>
          <w:i/>
          <w:color w:val="000000"/>
          <w:sz w:val="20"/>
          <w:szCs w:val="20"/>
        </w:rPr>
        <w:t>Bowstring</w:t>
      </w:r>
      <w:proofErr w:type="spellEnd"/>
      <w:r w:rsidRPr="009109B2">
        <w:rPr>
          <w:rFonts w:ascii="Arial" w:hAnsi="Arial" w:cs="Arial"/>
          <w:b/>
          <w:i/>
          <w:color w:val="000000"/>
          <w:sz w:val="20"/>
          <w:szCs w:val="20"/>
        </w:rPr>
        <w:t xml:space="preserve"> Schifflange</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A13 / OA 1219 - Tunnel </w:t>
      </w:r>
      <w:proofErr w:type="spellStart"/>
      <w:r w:rsidRPr="009109B2">
        <w:rPr>
          <w:rFonts w:ascii="Arial" w:hAnsi="Arial" w:cs="Arial"/>
          <w:b/>
          <w:i/>
          <w:color w:val="000000"/>
          <w:sz w:val="20"/>
          <w:szCs w:val="20"/>
        </w:rPr>
        <w:t>Markusberg</w:t>
      </w:r>
      <w:proofErr w:type="spellEnd"/>
      <w:r w:rsidRPr="009109B2">
        <w:rPr>
          <w:rFonts w:ascii="Arial" w:hAnsi="Arial" w:cs="Arial"/>
          <w:b/>
          <w:i/>
          <w:color w:val="000000"/>
          <w:sz w:val="20"/>
          <w:szCs w:val="20"/>
        </w:rPr>
        <w:t> : Assainissement de la zone de gonflement</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Pôle d'échange Gare Centrale, Luxembourg</w:t>
      </w:r>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Extension du Park &amp; Ride </w:t>
      </w:r>
      <w:proofErr w:type="spellStart"/>
      <w:r w:rsidRPr="009109B2">
        <w:rPr>
          <w:rFonts w:ascii="Arial" w:hAnsi="Arial" w:cs="Arial"/>
          <w:b/>
          <w:i/>
          <w:color w:val="000000"/>
          <w:sz w:val="20"/>
          <w:szCs w:val="20"/>
        </w:rPr>
        <w:t>Frisange</w:t>
      </w:r>
      <w:proofErr w:type="spellEnd"/>
    </w:p>
    <w:p w:rsidR="009109B2" w:rsidRPr="009109B2" w:rsidRDefault="009109B2" w:rsidP="009109B2">
      <w:pPr>
        <w:autoSpaceDE w:val="0"/>
        <w:autoSpaceDN w:val="0"/>
        <w:adjustRightInd w:val="0"/>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N7 / CR123 - Suppression PN24 et PN24A à </w:t>
      </w:r>
      <w:proofErr w:type="spellStart"/>
      <w:r w:rsidRPr="009109B2">
        <w:rPr>
          <w:rFonts w:ascii="Arial" w:hAnsi="Arial" w:cs="Arial"/>
          <w:b/>
          <w:i/>
          <w:color w:val="000000"/>
          <w:sz w:val="20"/>
          <w:szCs w:val="20"/>
        </w:rPr>
        <w:t>Pettingen</w:t>
      </w:r>
      <w:proofErr w:type="spellEnd"/>
    </w:p>
    <w:p w:rsidR="009109B2"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N13 - Contournement </w:t>
      </w:r>
      <w:proofErr w:type="spellStart"/>
      <w:r w:rsidRPr="009109B2">
        <w:rPr>
          <w:rFonts w:ascii="Arial" w:hAnsi="Arial" w:cs="Arial"/>
          <w:b/>
          <w:i/>
          <w:color w:val="000000"/>
          <w:sz w:val="20"/>
          <w:szCs w:val="20"/>
        </w:rPr>
        <w:t>Dippach</w:t>
      </w:r>
      <w:proofErr w:type="spellEnd"/>
      <w:r w:rsidRPr="009109B2">
        <w:rPr>
          <w:rFonts w:ascii="Arial" w:hAnsi="Arial" w:cs="Arial"/>
          <w:b/>
          <w:i/>
          <w:color w:val="000000"/>
          <w:sz w:val="20"/>
          <w:szCs w:val="20"/>
        </w:rPr>
        <w:t>-Gare avec suppression PN5</w:t>
      </w:r>
    </w:p>
    <w:p w:rsidR="009109B2" w:rsidRPr="009109B2" w:rsidRDefault="009109B2" w:rsidP="009109B2">
      <w:pPr>
        <w:spacing w:before="120" w:after="120" w:line="240" w:lineRule="auto"/>
        <w:jc w:val="both"/>
        <w:rPr>
          <w:rFonts w:ascii="Arial" w:hAnsi="Arial" w:cs="Arial"/>
          <w:b/>
          <w:bCs/>
          <w:color w:val="000000"/>
          <w:sz w:val="20"/>
          <w:szCs w:val="20"/>
        </w:rPr>
      </w:pPr>
      <w:r w:rsidRPr="009109B2">
        <w:rPr>
          <w:rFonts w:ascii="Arial" w:hAnsi="Arial" w:cs="Arial"/>
          <w:b/>
          <w:bCs/>
          <w:color w:val="000000"/>
          <w:sz w:val="20"/>
          <w:szCs w:val="20"/>
        </w:rPr>
        <w:t>6. Projets du Fonds du Rail</w:t>
      </w:r>
    </w:p>
    <w:p w:rsidR="008260C4" w:rsidRPr="009109B2" w:rsidRDefault="009109B2" w:rsidP="009109B2">
      <w:pPr>
        <w:spacing w:before="120" w:after="120" w:line="240" w:lineRule="auto"/>
        <w:jc w:val="both"/>
        <w:rPr>
          <w:rFonts w:ascii="Arial" w:hAnsi="Arial" w:cs="Arial"/>
          <w:b/>
          <w:i/>
          <w:color w:val="000000"/>
          <w:sz w:val="20"/>
          <w:szCs w:val="20"/>
        </w:rPr>
      </w:pPr>
      <w:r w:rsidRPr="009109B2">
        <w:rPr>
          <w:rFonts w:ascii="Arial" w:hAnsi="Arial" w:cs="Arial"/>
          <w:b/>
          <w:i/>
          <w:color w:val="000000"/>
          <w:sz w:val="20"/>
          <w:szCs w:val="20"/>
        </w:rPr>
        <w:t xml:space="preserve">Pôle multimodal </w:t>
      </w:r>
      <w:proofErr w:type="spellStart"/>
      <w:r w:rsidRPr="009109B2">
        <w:rPr>
          <w:rFonts w:ascii="Arial" w:hAnsi="Arial" w:cs="Arial"/>
          <w:b/>
          <w:i/>
          <w:color w:val="000000"/>
          <w:sz w:val="20"/>
          <w:szCs w:val="20"/>
        </w:rPr>
        <w:t>Howald</w:t>
      </w:r>
      <w:proofErr w:type="spellEnd"/>
      <w:r w:rsidRPr="009109B2">
        <w:rPr>
          <w:rFonts w:ascii="Arial" w:hAnsi="Arial" w:cs="Arial"/>
          <w:b/>
          <w:i/>
          <w:color w:val="000000"/>
          <w:sz w:val="20"/>
          <w:szCs w:val="20"/>
        </w:rPr>
        <w:t xml:space="preserve"> – Bâtiment administratif</w:t>
      </w:r>
    </w:p>
    <w:sectPr w:rsidR="008260C4" w:rsidRPr="00910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9B2"/>
    <w:rsid w:val="001E1B0D"/>
    <w:rsid w:val="00490BE0"/>
    <w:rsid w:val="004D686B"/>
    <w:rsid w:val="00510E44"/>
    <w:rsid w:val="008260C4"/>
    <w:rsid w:val="008E0AB4"/>
    <w:rsid w:val="009109B2"/>
    <w:rsid w:val="009E065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87CEF1-9860-4042-9FCE-9735F32C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DP7397</FileClassificationLevel3>
    <FileClassificationLevel4 xmlns="84f9a6a8-f2d8-4679-afd4-008cbd8c3661" xsi:nil="true"/>
    <MeetingNumber xmlns="84f9a6a8-f2d8-4679-afd4-008cbd8c3661" xsi:nil="true"/>
    <CaseCreationDate xmlns="84f9a6a8-f2d8-4679-afd4-008cbd8c3661" xsi:nil="true"/>
    <CaseSubType xmlns="84f9a6a8-f2d8-4679-afd4-008cbd8c3661">Débat d'orientation</CaseSubType>
    <MeetingDate xmlns="84f9a6a8-f2d8-4679-afd4-008cbd8c3661" xsi:nil="true"/>
    <FileClassificationLevel5 xmlns="84f9a6a8-f2d8-4679-afd4-008cbd8c3661" xsi:nil="true"/>
    <CaseType xmlns="84f9a6a8-f2d8-4679-afd4-008cbd8c3661">Debate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/sftpecos/Dossiers_parlementaires/7397/</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319E6EB9-E196-4AEC-8BF6-4647687B3FAF}"/>
</file>

<file path=customXml/itemProps2.xml><?xml version="1.0" encoding="utf-8"?>
<ds:datastoreItem xmlns:ds="http://schemas.openxmlformats.org/officeDocument/2006/customXml" ds:itemID="{B0910DB0-4F57-4D60-872F-E1D97BADC97B}"/>
</file>

<file path=customXml/itemProps3.xml><?xml version="1.0" encoding="utf-8"?>
<ds:datastoreItem xmlns:ds="http://schemas.openxmlformats.org/officeDocument/2006/customXml" ds:itemID="{95A095DC-BFCC-4BFB-94CE-C43F48AECF2D}"/>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2857</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