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46" w:rsidRPr="00CC57FE" w:rsidRDefault="00C23E46" w:rsidP="00C23E46">
      <w:pPr>
        <w:autoSpaceDE w:val="0"/>
        <w:autoSpaceDN w:val="0"/>
        <w:adjustRightInd w:val="0"/>
        <w:spacing w:after="40" w:line="201" w:lineRule="atLeast"/>
        <w:jc w:val="center"/>
        <w:rPr>
          <w:rFonts w:ascii="Arial" w:hAnsi="Arial" w:cs="Arial"/>
          <w:b/>
          <w:color w:val="FF0000"/>
          <w:sz w:val="28"/>
          <w:szCs w:val="28"/>
          <w:u w:val="single"/>
          <w:lang w:eastAsia="fr-LU"/>
        </w:rPr>
      </w:pPr>
      <w:bookmarkStart w:id="0" w:name="_GoBack"/>
      <w:bookmarkEnd w:id="0"/>
      <w:r w:rsidRPr="00CC57FE">
        <w:rPr>
          <w:rFonts w:ascii="Arial" w:hAnsi="Arial" w:cs="Arial"/>
          <w:b/>
          <w:color w:val="FF0000"/>
          <w:sz w:val="28"/>
          <w:szCs w:val="28"/>
          <w:u w:val="single"/>
          <w:lang w:eastAsia="fr-LU"/>
        </w:rPr>
        <w:t xml:space="preserve">Synthèse du </w:t>
      </w:r>
      <w:r>
        <w:rPr>
          <w:rFonts w:ascii="Arial" w:hAnsi="Arial" w:cs="Arial"/>
          <w:b/>
          <w:color w:val="FF0000"/>
          <w:sz w:val="28"/>
          <w:szCs w:val="28"/>
          <w:u w:val="single"/>
          <w:lang w:eastAsia="fr-LU"/>
        </w:rPr>
        <w:t>projet de loi</w:t>
      </w:r>
      <w:r w:rsidRPr="00CC57FE">
        <w:rPr>
          <w:rFonts w:ascii="Arial" w:hAnsi="Arial" w:cs="Arial"/>
          <w:b/>
          <w:color w:val="FF0000"/>
          <w:sz w:val="28"/>
          <w:szCs w:val="28"/>
          <w:u w:val="single"/>
          <w:lang w:eastAsia="fr-LU"/>
        </w:rPr>
        <w:t xml:space="preserve"> </w:t>
      </w:r>
      <w:r>
        <w:rPr>
          <w:rFonts w:ascii="Arial" w:hAnsi="Arial" w:cs="Arial"/>
          <w:b/>
          <w:color w:val="FF0000"/>
          <w:sz w:val="28"/>
          <w:szCs w:val="28"/>
          <w:u w:val="single"/>
          <w:lang w:eastAsia="fr-LU"/>
        </w:rPr>
        <w:t xml:space="preserve">n° </w:t>
      </w:r>
      <w:r w:rsidRPr="00CC57FE">
        <w:rPr>
          <w:rFonts w:ascii="Arial" w:hAnsi="Arial" w:cs="Arial"/>
          <w:b/>
          <w:color w:val="FF0000"/>
          <w:sz w:val="28"/>
          <w:szCs w:val="28"/>
          <w:u w:val="single"/>
          <w:lang w:eastAsia="fr-LU"/>
        </w:rPr>
        <w:t>73</w:t>
      </w:r>
      <w:r>
        <w:rPr>
          <w:rFonts w:ascii="Arial" w:hAnsi="Arial" w:cs="Arial"/>
          <w:b/>
          <w:color w:val="FF0000"/>
          <w:sz w:val="28"/>
          <w:szCs w:val="28"/>
          <w:u w:val="single"/>
          <w:lang w:eastAsia="fr-LU"/>
        </w:rPr>
        <w:t>93 (PL 7393)</w:t>
      </w:r>
    </w:p>
    <w:p w:rsidR="00C23E46" w:rsidRDefault="00C23E46" w:rsidP="00C23E46">
      <w:pPr>
        <w:spacing w:after="0" w:line="240" w:lineRule="auto"/>
        <w:rPr>
          <w:rFonts w:ascii="Arial" w:eastAsia="Times New Roman" w:hAnsi="Arial"/>
          <w:lang w:val="fr-FR" w:eastAsia="fr-FR"/>
        </w:rPr>
      </w:pPr>
    </w:p>
    <w:p w:rsidR="00C23E46" w:rsidRPr="002E4106" w:rsidRDefault="00C23E46" w:rsidP="00C23E46">
      <w:pPr>
        <w:spacing w:after="0" w:line="240" w:lineRule="auto"/>
        <w:jc w:val="center"/>
        <w:rPr>
          <w:rFonts w:ascii="Arial" w:eastAsia="Times New Roman" w:hAnsi="Arial"/>
          <w:b/>
          <w:color w:val="FF0000"/>
          <w:lang w:val="fr-FR" w:eastAsia="fr-FR"/>
        </w:rPr>
      </w:pPr>
      <w:r w:rsidRPr="002E4106">
        <w:rPr>
          <w:rFonts w:ascii="Arial" w:eastAsia="Times New Roman" w:hAnsi="Arial"/>
          <w:b/>
          <w:color w:val="FF0000"/>
          <w:lang w:val="fr-FR" w:eastAsia="fr-FR"/>
        </w:rPr>
        <w:t>PROJET DE LOI</w:t>
      </w:r>
    </w:p>
    <w:p w:rsidR="00C23E46" w:rsidRPr="002E4106" w:rsidRDefault="00C23E46" w:rsidP="00C23E46">
      <w:pPr>
        <w:spacing w:after="0" w:line="240" w:lineRule="auto"/>
        <w:jc w:val="center"/>
        <w:rPr>
          <w:rFonts w:ascii="Arial" w:eastAsia="Times New Roman" w:hAnsi="Arial"/>
          <w:color w:val="FF0000"/>
          <w:lang w:val="fr-FR" w:eastAsia="fr-FR"/>
        </w:rPr>
      </w:pPr>
    </w:p>
    <w:p w:rsidR="00C23E46" w:rsidRPr="002E4106" w:rsidRDefault="00C23E46" w:rsidP="00C23E46">
      <w:pPr>
        <w:spacing w:after="0" w:line="240" w:lineRule="auto"/>
        <w:jc w:val="center"/>
        <w:rPr>
          <w:rFonts w:ascii="Arial" w:eastAsia="Times New Roman" w:hAnsi="Arial"/>
          <w:b/>
          <w:color w:val="FF0000"/>
          <w:lang w:val="fr-FR" w:eastAsia="fr-FR"/>
        </w:rPr>
      </w:pPr>
      <w:r w:rsidRPr="002E4106">
        <w:rPr>
          <w:rFonts w:ascii="Arial" w:eastAsia="Times New Roman" w:hAnsi="Arial"/>
          <w:b/>
          <w:color w:val="FF0000"/>
          <w:lang w:val="fr-FR" w:eastAsia="fr-FR"/>
        </w:rPr>
        <w:t>portant modification de la loi du 14 septembre 2018 relative à</w:t>
      </w:r>
    </w:p>
    <w:p w:rsidR="00C23E46" w:rsidRPr="002E4106" w:rsidRDefault="00C23E46" w:rsidP="00C23E46">
      <w:pPr>
        <w:spacing w:after="0" w:line="240" w:lineRule="auto"/>
        <w:jc w:val="center"/>
        <w:rPr>
          <w:rFonts w:ascii="Arial" w:eastAsia="Times New Roman" w:hAnsi="Arial"/>
          <w:b/>
          <w:color w:val="FF0000"/>
          <w:lang w:val="fr-FR" w:eastAsia="fr-FR"/>
        </w:rPr>
      </w:pPr>
      <w:r w:rsidRPr="002E4106">
        <w:rPr>
          <w:rFonts w:ascii="Arial" w:eastAsia="Times New Roman" w:hAnsi="Arial"/>
          <w:b/>
          <w:color w:val="FF0000"/>
          <w:lang w:val="fr-FR" w:eastAsia="fr-FR"/>
        </w:rPr>
        <w:t>une administration transparente et ouverte</w:t>
      </w:r>
    </w:p>
    <w:p w:rsidR="00C23E46" w:rsidRDefault="00C23E46" w:rsidP="00C23E46">
      <w:pPr>
        <w:spacing w:after="0" w:line="240" w:lineRule="auto"/>
        <w:rPr>
          <w:rFonts w:ascii="Arial" w:eastAsia="Times New Roman" w:hAnsi="Arial"/>
          <w:lang w:val="fr-FR" w:eastAsia="fr-FR"/>
        </w:rPr>
      </w:pPr>
    </w:p>
    <w:p w:rsidR="00C23E46" w:rsidRPr="00DC3CA7" w:rsidRDefault="00C23E46" w:rsidP="00C23E46">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FR" w:eastAsia="fr-LU"/>
        </w:rPr>
        <w:t xml:space="preserve">Le </w:t>
      </w:r>
      <w:r>
        <w:rPr>
          <w:rFonts w:ascii="Arial" w:hAnsi="Arial" w:cs="Arial"/>
          <w:b/>
          <w:color w:val="FF0000"/>
          <w:u w:val="single"/>
          <w:lang w:val="fr-FR" w:eastAsia="fr-LU"/>
        </w:rPr>
        <w:t>PL 7393</w:t>
      </w:r>
      <w:r w:rsidRPr="00DC3CA7">
        <w:rPr>
          <w:rFonts w:ascii="Arial" w:hAnsi="Arial" w:cs="Arial"/>
          <w:color w:val="000000"/>
          <w:lang w:val="fr-CH" w:eastAsia="fr-LU"/>
        </w:rPr>
        <w:t xml:space="preserve"> a pour objet d’apporter des précisions aux dispositions de la </w:t>
      </w:r>
      <w:r w:rsidRPr="002E4106">
        <w:rPr>
          <w:rFonts w:ascii="Arial" w:hAnsi="Arial" w:cs="Arial"/>
          <w:b/>
          <w:color w:val="000000"/>
          <w:lang w:val="fr-CH" w:eastAsia="fr-LU"/>
        </w:rPr>
        <w:t>loi du 14 septembre 2018 relative à une administration transparente et ouverte</w:t>
      </w:r>
      <w:r w:rsidRPr="00DC3CA7">
        <w:rPr>
          <w:rFonts w:ascii="Arial" w:hAnsi="Arial" w:cs="Arial"/>
          <w:color w:val="000000"/>
          <w:lang w:val="fr-CH" w:eastAsia="fr-LU"/>
        </w:rPr>
        <w:t xml:space="preserve"> concernant la Commission d’accès aux documents.</w:t>
      </w:r>
    </w:p>
    <w:p w:rsidR="00C23E46" w:rsidRPr="00DC3CA7" w:rsidRDefault="00C23E46" w:rsidP="00C23E46">
      <w:pPr>
        <w:autoSpaceDE w:val="0"/>
        <w:autoSpaceDN w:val="0"/>
        <w:adjustRightInd w:val="0"/>
        <w:spacing w:after="40" w:line="201" w:lineRule="atLeast"/>
        <w:ind w:left="1080" w:hanging="1080"/>
        <w:jc w:val="both"/>
        <w:rPr>
          <w:rFonts w:ascii="Arial" w:hAnsi="Arial" w:cs="Arial"/>
          <w:color w:val="000000"/>
          <w:lang w:val="fr-CH" w:eastAsia="fr-LU"/>
        </w:rPr>
      </w:pPr>
    </w:p>
    <w:p w:rsidR="00C23E46" w:rsidRPr="00DC3CA7" w:rsidRDefault="00C23E46" w:rsidP="00C23E46">
      <w:pPr>
        <w:autoSpaceDE w:val="0"/>
        <w:autoSpaceDN w:val="0"/>
        <w:adjustRightInd w:val="0"/>
        <w:spacing w:after="40" w:line="201" w:lineRule="atLeast"/>
        <w:jc w:val="both"/>
        <w:rPr>
          <w:rFonts w:ascii="Arial" w:hAnsi="Arial" w:cs="Arial"/>
          <w:color w:val="000000"/>
          <w:lang w:val="fr-CH" w:eastAsia="fr-LU"/>
        </w:rPr>
      </w:pPr>
      <w:r w:rsidRPr="00DC3CA7">
        <w:rPr>
          <w:rFonts w:ascii="Arial" w:hAnsi="Arial" w:cs="Arial"/>
          <w:color w:val="000000"/>
          <w:lang w:val="fr-CH" w:eastAsia="fr-LU"/>
        </w:rPr>
        <w:t xml:space="preserve">Avec la </w:t>
      </w:r>
      <w:r w:rsidRPr="002E4106">
        <w:rPr>
          <w:rFonts w:ascii="Arial" w:hAnsi="Arial" w:cs="Arial"/>
          <w:b/>
          <w:color w:val="000000"/>
          <w:lang w:val="fr-CH" w:eastAsia="fr-LU"/>
        </w:rPr>
        <w:t>loi du 14 septembre 2018 relative à une administration transparente et ouverte</w:t>
      </w:r>
      <w:r w:rsidRPr="00DC3CA7">
        <w:rPr>
          <w:rFonts w:ascii="Arial" w:hAnsi="Arial" w:cs="Arial"/>
          <w:color w:val="000000"/>
          <w:lang w:val="fr-CH" w:eastAsia="fr-LU"/>
        </w:rPr>
        <w:t xml:space="preserve">, une </w:t>
      </w:r>
      <w:r>
        <w:rPr>
          <w:rFonts w:ascii="Arial" w:hAnsi="Arial" w:cs="Arial"/>
          <w:color w:val="000000"/>
          <w:lang w:val="fr-CH" w:eastAsia="fr-LU"/>
        </w:rPr>
        <w:t>« </w:t>
      </w:r>
      <w:r w:rsidRPr="00DC3CA7">
        <w:rPr>
          <w:rFonts w:ascii="Arial" w:hAnsi="Arial" w:cs="Arial"/>
          <w:color w:val="000000"/>
          <w:lang w:val="fr-CH" w:eastAsia="fr-LU"/>
        </w:rPr>
        <w:t>Commission d’accès aux documents</w:t>
      </w:r>
      <w:r>
        <w:rPr>
          <w:rFonts w:ascii="Arial" w:hAnsi="Arial" w:cs="Arial"/>
          <w:color w:val="000000"/>
          <w:lang w:val="fr-CH" w:eastAsia="fr-LU"/>
        </w:rPr>
        <w:t> »</w:t>
      </w:r>
      <w:r w:rsidRPr="00DC3CA7">
        <w:rPr>
          <w:rFonts w:ascii="Arial" w:hAnsi="Arial" w:cs="Arial"/>
          <w:color w:val="000000"/>
          <w:lang w:val="fr-CH" w:eastAsia="fr-LU"/>
        </w:rPr>
        <w:t xml:space="preserve"> (ci-après </w:t>
      </w:r>
      <w:r>
        <w:rPr>
          <w:rFonts w:ascii="Arial" w:hAnsi="Arial" w:cs="Arial"/>
          <w:color w:val="000000"/>
          <w:lang w:val="fr-CH" w:eastAsia="fr-LU"/>
        </w:rPr>
        <w:t>« </w:t>
      </w:r>
      <w:r w:rsidRPr="00DC3CA7">
        <w:rPr>
          <w:rFonts w:ascii="Arial" w:hAnsi="Arial" w:cs="Arial"/>
          <w:color w:val="000000"/>
          <w:lang w:val="fr-CH" w:eastAsia="fr-LU"/>
        </w:rPr>
        <w:t>Commission</w:t>
      </w:r>
      <w:r>
        <w:rPr>
          <w:rFonts w:ascii="Arial" w:hAnsi="Arial" w:cs="Arial"/>
          <w:color w:val="000000"/>
          <w:lang w:val="fr-CH" w:eastAsia="fr-LU"/>
        </w:rPr>
        <w:t> »</w:t>
      </w:r>
      <w:r w:rsidRPr="00DC3CA7">
        <w:rPr>
          <w:rFonts w:ascii="Arial" w:hAnsi="Arial" w:cs="Arial"/>
          <w:color w:val="000000"/>
          <w:lang w:val="fr-CH" w:eastAsia="fr-LU"/>
        </w:rPr>
        <w:t xml:space="preserve">) a été créée, dont la mission consiste à veiller au respect du droit d’accès aux documents. Ainsi, lorsqu’un citoyen se voit </w:t>
      </w:r>
      <w:proofErr w:type="spellStart"/>
      <w:r w:rsidRPr="00DC3CA7">
        <w:rPr>
          <w:rFonts w:ascii="Arial" w:hAnsi="Arial" w:cs="Arial"/>
          <w:color w:val="000000"/>
          <w:lang w:val="fr-CH" w:eastAsia="fr-LU"/>
        </w:rPr>
        <w:t>réfusé</w:t>
      </w:r>
      <w:proofErr w:type="spellEnd"/>
      <w:r w:rsidRPr="00DC3CA7">
        <w:rPr>
          <w:rFonts w:ascii="Arial" w:hAnsi="Arial" w:cs="Arial"/>
          <w:color w:val="000000"/>
          <w:lang w:val="fr-CH" w:eastAsia="fr-LU"/>
        </w:rPr>
        <w:t xml:space="preserve"> sa demande d’accès à un document demandé, il peut saisir la Commission qui est habilitée à trancher sur le bien-fondé de la décision de refus de l’administration respective.</w:t>
      </w:r>
    </w:p>
    <w:p w:rsidR="00C23E46" w:rsidRDefault="00C23E46" w:rsidP="00C23E46">
      <w:pPr>
        <w:spacing w:after="0" w:line="240" w:lineRule="auto"/>
        <w:rPr>
          <w:rFonts w:ascii="Arial" w:hAnsi="Arial" w:cs="Arial"/>
          <w:lang w:val="fr-CH"/>
        </w:rPr>
      </w:pPr>
    </w:p>
    <w:p w:rsidR="00C23E46" w:rsidRDefault="00C23E46" w:rsidP="00C23E46">
      <w:pPr>
        <w:spacing w:after="0" w:line="240" w:lineRule="auto"/>
        <w:rPr>
          <w:rFonts w:ascii="Arial" w:hAnsi="Arial" w:cs="Arial"/>
          <w:lang w:val="fr-CH"/>
        </w:rPr>
      </w:pPr>
    </w:p>
    <w:p w:rsidR="00C23E46" w:rsidRPr="002E4106" w:rsidRDefault="00C23E46" w:rsidP="00C23E46">
      <w:pPr>
        <w:spacing w:after="0" w:line="240" w:lineRule="auto"/>
        <w:rPr>
          <w:rFonts w:ascii="Arial" w:hAnsi="Arial" w:cs="Arial"/>
          <w:lang w:val="fr-CH"/>
        </w:rPr>
      </w:pPr>
    </w:p>
    <w:p w:rsidR="00C23E46" w:rsidRDefault="00C23E46" w:rsidP="00C23E46">
      <w:pPr>
        <w:autoSpaceDE w:val="0"/>
        <w:autoSpaceDN w:val="0"/>
        <w:adjustRightInd w:val="0"/>
        <w:spacing w:after="40" w:line="201" w:lineRule="atLeast"/>
        <w:jc w:val="both"/>
        <w:rPr>
          <w:rFonts w:ascii="Arial" w:hAnsi="Arial" w:cs="Arial"/>
          <w:color w:val="000000"/>
          <w:lang w:val="fr-CH" w:eastAsia="fr-LU"/>
        </w:rPr>
      </w:pPr>
      <w:r w:rsidRPr="00DC3CA7">
        <w:rPr>
          <w:rFonts w:ascii="Arial" w:hAnsi="Arial" w:cs="Arial"/>
          <w:color w:val="000000"/>
          <w:lang w:val="fr-CH" w:eastAsia="fr-LU"/>
        </w:rPr>
        <w:t xml:space="preserve">D’après la </w:t>
      </w:r>
      <w:r w:rsidRPr="002E4106">
        <w:rPr>
          <w:rFonts w:ascii="Arial" w:hAnsi="Arial" w:cs="Arial"/>
          <w:b/>
          <w:color w:val="000000"/>
          <w:lang w:val="fr-CH" w:eastAsia="fr-LU"/>
        </w:rPr>
        <w:t>loi du 14 septembre 2018 relative à une administration transparente et ouverte</w:t>
      </w:r>
      <w:r w:rsidRPr="00DC3CA7">
        <w:rPr>
          <w:rFonts w:ascii="Arial" w:hAnsi="Arial" w:cs="Arial"/>
          <w:color w:val="000000"/>
          <w:lang w:val="fr-CH" w:eastAsia="fr-LU"/>
        </w:rPr>
        <w:t>, la Commission est composée de cinq membres</w:t>
      </w:r>
      <w:r>
        <w:rPr>
          <w:rFonts w:ascii="Arial" w:hAnsi="Arial" w:cs="Arial"/>
          <w:color w:val="000000"/>
          <w:lang w:val="fr-CH" w:eastAsia="fr-LU"/>
        </w:rPr>
        <w:t> :</w:t>
      </w:r>
    </w:p>
    <w:p w:rsidR="00C23E46" w:rsidRDefault="00C23E46" w:rsidP="00C23E46">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Pr="00DC3CA7">
        <w:rPr>
          <w:rFonts w:ascii="Arial" w:hAnsi="Arial" w:cs="Arial"/>
          <w:color w:val="000000"/>
          <w:lang w:val="fr-CH" w:eastAsia="fr-LU"/>
        </w:rPr>
        <w:t>un magistrat,</w:t>
      </w:r>
    </w:p>
    <w:p w:rsidR="00C23E46" w:rsidRDefault="00C23E46" w:rsidP="00C23E46">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Pr="00DC3CA7">
        <w:rPr>
          <w:rFonts w:ascii="Arial" w:hAnsi="Arial" w:cs="Arial"/>
          <w:color w:val="000000"/>
          <w:lang w:val="fr-CH" w:eastAsia="fr-LU"/>
        </w:rPr>
        <w:t>un représentant du Premier ministre,</w:t>
      </w:r>
    </w:p>
    <w:p w:rsidR="00C23E46" w:rsidRDefault="00C23E46" w:rsidP="00C23E46">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Pr="00DC3CA7">
        <w:rPr>
          <w:rFonts w:ascii="Arial" w:hAnsi="Arial" w:cs="Arial"/>
          <w:color w:val="000000"/>
          <w:lang w:val="fr-CH" w:eastAsia="fr-LU"/>
        </w:rPr>
        <w:t>un représentant de la Commission nationale pour la protection des données (CNPD),</w:t>
      </w:r>
    </w:p>
    <w:p w:rsidR="00C23E46" w:rsidRDefault="00C23E46" w:rsidP="00C23E46">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Pr="00DC3CA7">
        <w:rPr>
          <w:rFonts w:ascii="Arial" w:hAnsi="Arial" w:cs="Arial"/>
          <w:color w:val="000000"/>
          <w:lang w:val="fr-CH" w:eastAsia="fr-LU"/>
        </w:rPr>
        <w:t>un représentant du Syndicat des villes et communes luxembourgeoises (</w:t>
      </w:r>
      <w:proofErr w:type="spellStart"/>
      <w:r w:rsidRPr="00DC3CA7">
        <w:rPr>
          <w:rFonts w:ascii="Arial" w:hAnsi="Arial" w:cs="Arial"/>
          <w:color w:val="000000"/>
          <w:lang w:val="fr-CH" w:eastAsia="fr-LU"/>
        </w:rPr>
        <w:t>Syvicol</w:t>
      </w:r>
      <w:proofErr w:type="spellEnd"/>
      <w:r w:rsidRPr="00DC3CA7">
        <w:rPr>
          <w:rFonts w:ascii="Arial" w:hAnsi="Arial" w:cs="Arial"/>
          <w:color w:val="000000"/>
          <w:lang w:val="fr-CH" w:eastAsia="fr-LU"/>
        </w:rPr>
        <w:t>)</w:t>
      </w:r>
      <w:r>
        <w:rPr>
          <w:rFonts w:ascii="Arial" w:hAnsi="Arial" w:cs="Arial"/>
          <w:color w:val="000000"/>
          <w:lang w:val="fr-CH" w:eastAsia="fr-LU"/>
        </w:rPr>
        <w:t>, et</w:t>
      </w:r>
    </w:p>
    <w:p w:rsidR="00C23E46" w:rsidRDefault="00C23E46" w:rsidP="00C23E46">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Pr="00DC3CA7">
        <w:rPr>
          <w:rFonts w:ascii="Arial" w:hAnsi="Arial" w:cs="Arial"/>
          <w:color w:val="000000"/>
          <w:lang w:val="fr-CH" w:eastAsia="fr-LU"/>
        </w:rPr>
        <w:t>un représentant du Service information et presse du Gouvernement (SIP).</w:t>
      </w:r>
    </w:p>
    <w:p w:rsidR="00C23E46" w:rsidRDefault="00C23E46" w:rsidP="00C23E46">
      <w:pPr>
        <w:autoSpaceDE w:val="0"/>
        <w:autoSpaceDN w:val="0"/>
        <w:adjustRightInd w:val="0"/>
        <w:spacing w:after="40" w:line="201" w:lineRule="atLeast"/>
        <w:jc w:val="both"/>
        <w:rPr>
          <w:rFonts w:ascii="Arial" w:hAnsi="Arial" w:cs="Arial"/>
          <w:color w:val="000000"/>
          <w:lang w:val="fr-CH" w:eastAsia="fr-LU"/>
        </w:rPr>
      </w:pPr>
    </w:p>
    <w:p w:rsidR="00C23E46" w:rsidRPr="00DC3CA7" w:rsidRDefault="00C23E46" w:rsidP="00C23E46">
      <w:pPr>
        <w:autoSpaceDE w:val="0"/>
        <w:autoSpaceDN w:val="0"/>
        <w:adjustRightInd w:val="0"/>
        <w:spacing w:after="40" w:line="201" w:lineRule="atLeast"/>
        <w:jc w:val="both"/>
        <w:rPr>
          <w:rFonts w:ascii="Arial" w:hAnsi="Arial" w:cs="Arial"/>
          <w:color w:val="000000"/>
          <w:lang w:val="fr-CH" w:eastAsia="fr-LU"/>
        </w:rPr>
      </w:pPr>
      <w:r w:rsidRPr="00DC3CA7">
        <w:rPr>
          <w:rFonts w:ascii="Arial" w:hAnsi="Arial" w:cs="Arial"/>
          <w:color w:val="000000"/>
          <w:lang w:val="fr-CH" w:eastAsia="fr-LU"/>
        </w:rPr>
        <w:t xml:space="preserve">Or, en pratique il s’est avéré que la Commission risque de ne pas pouvoir siéger en cas d’empêchement du président ou de plusieurs de ses membres. Partant, il se peut que la </w:t>
      </w:r>
      <w:r w:rsidRPr="002E4106">
        <w:rPr>
          <w:rFonts w:ascii="Arial" w:hAnsi="Arial" w:cs="Arial"/>
          <w:b/>
          <w:color w:val="000000"/>
          <w:lang w:val="fr-CH" w:eastAsia="fr-LU"/>
        </w:rPr>
        <w:t>loi du 14 septembre 2018 relative à une administration transparente et ouverte</w:t>
      </w:r>
      <w:r w:rsidRPr="00DC3CA7">
        <w:rPr>
          <w:rFonts w:ascii="Arial" w:hAnsi="Arial" w:cs="Arial"/>
          <w:color w:val="000000"/>
          <w:lang w:val="fr-CH" w:eastAsia="fr-LU"/>
        </w:rPr>
        <w:t xml:space="preserve"> ne soit pas en mesure de rendre ses avis dans le délai de deux mois, tel qu’il est prévu par la loi. Pour pallier </w:t>
      </w:r>
      <w:r>
        <w:rPr>
          <w:rFonts w:ascii="Arial" w:hAnsi="Arial" w:cs="Arial"/>
          <w:color w:val="000000"/>
          <w:lang w:val="fr-CH" w:eastAsia="fr-LU"/>
        </w:rPr>
        <w:t xml:space="preserve">à </w:t>
      </w:r>
      <w:r w:rsidRPr="00DC3CA7">
        <w:rPr>
          <w:rFonts w:ascii="Arial" w:hAnsi="Arial" w:cs="Arial"/>
          <w:color w:val="000000"/>
          <w:lang w:val="fr-CH" w:eastAsia="fr-LU"/>
        </w:rPr>
        <w:t>ce problème, le</w:t>
      </w:r>
      <w:r>
        <w:rPr>
          <w:rFonts w:ascii="Arial" w:hAnsi="Arial" w:cs="Arial"/>
          <w:color w:val="000000"/>
          <w:lang w:val="fr-FR" w:eastAsia="fr-LU"/>
        </w:rPr>
        <w:t xml:space="preserve"> </w:t>
      </w:r>
      <w:r>
        <w:rPr>
          <w:rFonts w:ascii="Arial" w:hAnsi="Arial" w:cs="Arial"/>
          <w:b/>
          <w:color w:val="FF0000"/>
          <w:u w:val="single"/>
          <w:lang w:val="fr-FR" w:eastAsia="fr-LU"/>
        </w:rPr>
        <w:t>PL 7393</w:t>
      </w:r>
      <w:r w:rsidRPr="00DC3CA7">
        <w:rPr>
          <w:rFonts w:ascii="Arial" w:hAnsi="Arial" w:cs="Arial"/>
          <w:color w:val="000000"/>
          <w:lang w:val="fr-CH" w:eastAsia="fr-LU"/>
        </w:rPr>
        <w:t xml:space="preserve"> propose de nommer un nombre double de suppléants, selon les mêmes critères que les membres principaux, et qui peuvent remplacer ceux-ci en cas de besoin.</w:t>
      </w:r>
    </w:p>
    <w:p w:rsidR="00C23E46" w:rsidRPr="00DC3CA7" w:rsidRDefault="00C23E46" w:rsidP="00C23E46">
      <w:pPr>
        <w:autoSpaceDE w:val="0"/>
        <w:autoSpaceDN w:val="0"/>
        <w:adjustRightInd w:val="0"/>
        <w:spacing w:after="40" w:line="201" w:lineRule="atLeast"/>
        <w:jc w:val="both"/>
        <w:rPr>
          <w:rFonts w:ascii="Arial" w:hAnsi="Arial" w:cs="Arial"/>
          <w:color w:val="000000"/>
          <w:lang w:val="fr-CH" w:eastAsia="fr-LU"/>
        </w:rPr>
      </w:pPr>
      <w:r w:rsidRPr="00DC3CA7">
        <w:rPr>
          <w:rFonts w:ascii="Arial" w:hAnsi="Arial" w:cs="Arial"/>
          <w:color w:val="000000"/>
          <w:lang w:val="fr-CH" w:eastAsia="fr-LU"/>
        </w:rPr>
        <w:t>De plus, le</w:t>
      </w:r>
      <w:r>
        <w:rPr>
          <w:rFonts w:ascii="Arial" w:hAnsi="Arial" w:cs="Arial"/>
          <w:color w:val="000000"/>
          <w:lang w:val="fr-FR" w:eastAsia="fr-LU"/>
        </w:rPr>
        <w:t xml:space="preserve"> </w:t>
      </w:r>
      <w:r>
        <w:rPr>
          <w:rFonts w:ascii="Arial" w:hAnsi="Arial" w:cs="Arial"/>
          <w:b/>
          <w:color w:val="FF0000"/>
          <w:u w:val="single"/>
          <w:lang w:val="fr-FR" w:eastAsia="fr-LU"/>
        </w:rPr>
        <w:t>PL 7393</w:t>
      </w:r>
      <w:r w:rsidRPr="00DC3CA7">
        <w:rPr>
          <w:rFonts w:ascii="Arial" w:hAnsi="Arial" w:cs="Arial"/>
          <w:color w:val="000000"/>
          <w:lang w:val="fr-CH" w:eastAsia="fr-LU"/>
        </w:rPr>
        <w:t xml:space="preserve"> prévoit une disposition transitoire pour aligner la durée du mandat des suppléants à celle des membres titulaires. En effet, comme les membres suppléants ne pourront être nommés après l’entrée en vigueur du projet de loi sous rubrique, leur mandat commencera au cours du mandat des membres qu’ils sont appelés à remplacer. Cependant la durée de leur mandat ne pourra pas dépasser celle des membres principaux.</w:t>
      </w:r>
    </w:p>
    <w:p w:rsidR="00636D13" w:rsidRDefault="00636D13"/>
    <w:sectPr w:rsidR="00636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46"/>
    <w:rsid w:val="00636D13"/>
    <w:rsid w:val="00A436C8"/>
    <w:rsid w:val="00C23E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B3C069-C4D2-46C0-A72C-C3A04176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4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78F3BD3-DCEC-4D61-A9B2-2E99A349C8AF}"/>
</file>

<file path=customXml/itemProps2.xml><?xml version="1.0" encoding="utf-8"?>
<ds:datastoreItem xmlns:ds="http://schemas.openxmlformats.org/officeDocument/2006/customXml" ds:itemID="{87B0FE45-C6A0-424C-BE86-4C71DD0F8DFF}"/>
</file>

<file path=customXml/itemProps3.xml><?xml version="1.0" encoding="utf-8"?>
<ds:datastoreItem xmlns:ds="http://schemas.openxmlformats.org/officeDocument/2006/customXml" ds:itemID="{3473A679-A79B-49A1-A0CA-BD2B8A77847D}"/>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