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9C8" w:rsidRDefault="00CB5BD1" w:rsidP="00CB5BD1">
      <w:pPr>
        <w:jc w:val="center"/>
        <w:rPr>
          <w:rFonts w:ascii="Arial" w:hAnsi="Arial"/>
          <w:b/>
          <w:sz w:val="28"/>
          <w:szCs w:val="28"/>
        </w:rPr>
      </w:pPr>
      <w:bookmarkStart w:id="0" w:name="_GoBack"/>
      <w:bookmarkEnd w:id="0"/>
      <w:r w:rsidRPr="00CB5BD1">
        <w:rPr>
          <w:rFonts w:ascii="Arial" w:hAnsi="Arial"/>
          <w:b/>
          <w:sz w:val="28"/>
          <w:szCs w:val="28"/>
        </w:rPr>
        <w:t>7353</w:t>
      </w:r>
    </w:p>
    <w:p w:rsidR="00CB5BD1" w:rsidRPr="00357286" w:rsidRDefault="00CB5BD1" w:rsidP="00CB5BD1">
      <w:pPr>
        <w:jc w:val="center"/>
        <w:rPr>
          <w:rFonts w:ascii="Arial" w:hAnsi="Arial"/>
          <w:b/>
          <w:sz w:val="24"/>
          <w:szCs w:val="24"/>
        </w:rPr>
      </w:pPr>
      <w:r w:rsidRPr="00357286">
        <w:rPr>
          <w:rFonts w:ascii="Arial" w:hAnsi="Arial"/>
          <w:b/>
          <w:sz w:val="24"/>
          <w:szCs w:val="24"/>
        </w:rPr>
        <w:t>Résumé</w:t>
      </w:r>
    </w:p>
    <w:p w:rsidR="00CB5BD1" w:rsidRDefault="00CB5BD1" w:rsidP="00CB5BD1">
      <w:pPr>
        <w:jc w:val="center"/>
        <w:rPr>
          <w:rFonts w:ascii="Arial" w:hAnsi="Arial"/>
          <w:b/>
        </w:rPr>
      </w:pPr>
    </w:p>
    <w:p w:rsidR="00357286" w:rsidRPr="00357286" w:rsidRDefault="00357286" w:rsidP="00357286">
      <w:pPr>
        <w:spacing w:after="0" w:line="240" w:lineRule="auto"/>
        <w:jc w:val="both"/>
        <w:rPr>
          <w:rFonts w:ascii="Arial" w:hAnsi="Arial"/>
        </w:rPr>
      </w:pPr>
      <w:bookmarkStart w:id="1" w:name="_Hlk515888445"/>
      <w:r w:rsidRPr="00357286">
        <w:rPr>
          <w:rFonts w:ascii="Arial" w:hAnsi="Arial"/>
        </w:rPr>
        <w:t>Le projet de loi sous rubrique a pour objet de transposer la directive (UE) 2016/943 du Parlement européen et du Conseil sur la protection des savoir-faire et des informations commerciales non divulgués (secrets d’affaires) contre l’obtention, l’utilisation et la divulgation illicites.</w:t>
      </w:r>
    </w:p>
    <w:p w:rsidR="00357286" w:rsidRPr="00357286" w:rsidRDefault="00357286" w:rsidP="00357286">
      <w:pPr>
        <w:spacing w:after="0" w:line="240" w:lineRule="auto"/>
        <w:jc w:val="both"/>
        <w:rPr>
          <w:rFonts w:ascii="Arial" w:hAnsi="Arial"/>
        </w:rPr>
      </w:pPr>
    </w:p>
    <w:p w:rsidR="005D2D75" w:rsidRPr="00357286" w:rsidRDefault="00357286" w:rsidP="005D2D75">
      <w:pPr>
        <w:spacing w:after="0" w:line="240" w:lineRule="auto"/>
        <w:jc w:val="both"/>
        <w:rPr>
          <w:rFonts w:ascii="Arial" w:hAnsi="Arial"/>
        </w:rPr>
      </w:pPr>
      <w:r>
        <w:rPr>
          <w:rFonts w:ascii="Arial" w:hAnsi="Arial"/>
        </w:rPr>
        <w:t>Il s’agit d’</w:t>
      </w:r>
      <w:r w:rsidRPr="00357286">
        <w:rPr>
          <w:rFonts w:ascii="Arial" w:hAnsi="Arial"/>
        </w:rPr>
        <w:t>établir des règles conférant une protection non limitée dans le temps des secrets d’affaires contre l’obtention, l’utilisation et la divulgation illicites</w:t>
      </w:r>
      <w:r w:rsidR="005D2D75">
        <w:rPr>
          <w:rFonts w:ascii="Arial" w:hAnsi="Arial"/>
        </w:rPr>
        <w:t xml:space="preserve">, sans porter atteinte </w:t>
      </w:r>
      <w:r w:rsidR="005D2D75" w:rsidRPr="00357286">
        <w:rPr>
          <w:rFonts w:ascii="Arial" w:hAnsi="Arial"/>
        </w:rPr>
        <w:t>à la liberté d’établissement, la libre circulation ou la mobilité des travailleurs. Elle doit également respecter le droit de conclure des accords de non-concurrence entre employeurs et travailleurs conformément au droit applicable</w:t>
      </w:r>
      <w:r w:rsidR="005D2D75">
        <w:rPr>
          <w:rFonts w:ascii="Arial" w:hAnsi="Arial"/>
        </w:rPr>
        <w:t xml:space="preserve"> ainsi que </w:t>
      </w:r>
      <w:r w:rsidR="001E422A">
        <w:rPr>
          <w:rFonts w:ascii="Arial" w:hAnsi="Arial"/>
        </w:rPr>
        <w:t xml:space="preserve">le </w:t>
      </w:r>
      <w:r w:rsidR="005D2D75" w:rsidRPr="00357286">
        <w:rPr>
          <w:rFonts w:ascii="Arial" w:hAnsi="Arial"/>
        </w:rPr>
        <w:t>droit à la liberté d’expression et d’information.</w:t>
      </w:r>
    </w:p>
    <w:p w:rsidR="00357286" w:rsidRPr="00357286" w:rsidRDefault="00357286" w:rsidP="00357286">
      <w:pPr>
        <w:spacing w:after="0" w:line="240" w:lineRule="auto"/>
        <w:jc w:val="both"/>
        <w:rPr>
          <w:rFonts w:ascii="Arial" w:hAnsi="Arial"/>
        </w:rPr>
      </w:pPr>
    </w:p>
    <w:p w:rsidR="00357286" w:rsidRPr="00357286" w:rsidRDefault="005D2D75" w:rsidP="00357286">
      <w:pPr>
        <w:spacing w:after="0" w:line="240" w:lineRule="auto"/>
        <w:jc w:val="both"/>
        <w:rPr>
          <w:rFonts w:ascii="Arial" w:hAnsi="Arial"/>
        </w:rPr>
      </w:pPr>
      <w:r>
        <w:rPr>
          <w:rFonts w:ascii="Arial" w:hAnsi="Arial"/>
        </w:rPr>
        <w:t>Selon l</w:t>
      </w:r>
      <w:r w:rsidR="00357286" w:rsidRPr="00357286">
        <w:rPr>
          <w:rFonts w:ascii="Arial" w:hAnsi="Arial"/>
        </w:rPr>
        <w:t xml:space="preserve">es autorités dans l’Union européenne les secrets d’affaires représentent un facteur clé pour la protection des innovations et des connaissances technologiques ou non technologiques au sein des entreprises de l’Union européenne. Ainsi, une protection efficace des secrets d’affaires est une </w:t>
      </w:r>
      <w:proofErr w:type="spellStart"/>
      <w:r w:rsidR="00357286" w:rsidRPr="00357286">
        <w:rPr>
          <w:rFonts w:ascii="Arial" w:hAnsi="Arial"/>
          <w:i/>
        </w:rPr>
        <w:t>conditio</w:t>
      </w:r>
      <w:proofErr w:type="spellEnd"/>
      <w:r w:rsidR="00357286" w:rsidRPr="00357286">
        <w:rPr>
          <w:rFonts w:ascii="Arial" w:hAnsi="Arial"/>
          <w:i/>
        </w:rPr>
        <w:t xml:space="preserve"> sine qua non</w:t>
      </w:r>
      <w:r w:rsidR="00357286" w:rsidRPr="00357286">
        <w:rPr>
          <w:rFonts w:ascii="Arial" w:hAnsi="Arial"/>
        </w:rPr>
        <w:t xml:space="preserve"> pour les créateurs et les innovateurs de bénéficier d’une prévisibilité économique accrue afin de tirer profit de leur innovation. Par conséquent, la protection des secrets d’affaires constitue un enjeu économique sérieux pour la compétitivité de l’économie européenne.</w:t>
      </w:r>
    </w:p>
    <w:p w:rsidR="00357286" w:rsidRPr="00357286" w:rsidRDefault="00357286" w:rsidP="00357286">
      <w:pPr>
        <w:spacing w:after="0" w:line="240" w:lineRule="auto"/>
        <w:jc w:val="both"/>
        <w:rPr>
          <w:rFonts w:ascii="Arial" w:hAnsi="Arial"/>
        </w:rPr>
      </w:pPr>
    </w:p>
    <w:p w:rsidR="00357286" w:rsidRPr="00357286" w:rsidRDefault="00357286" w:rsidP="00357286">
      <w:pPr>
        <w:spacing w:after="0" w:line="240" w:lineRule="auto"/>
        <w:jc w:val="both"/>
        <w:rPr>
          <w:rFonts w:ascii="Arial" w:hAnsi="Arial"/>
        </w:rPr>
      </w:pPr>
      <w:r w:rsidRPr="00357286">
        <w:rPr>
          <w:rFonts w:ascii="Arial" w:hAnsi="Arial"/>
        </w:rPr>
        <w:t>Jusqu’à présent, la notion de secret d’affaires était définie par la jurisprudence. La violation d’un secret d’affaires était régie par quatre volets du droit national</w:t>
      </w:r>
      <w:r w:rsidR="00FD4D52">
        <w:rPr>
          <w:rFonts w:ascii="Arial" w:hAnsi="Arial"/>
        </w:rPr>
        <w:t xml:space="preserve"> : </w:t>
      </w:r>
      <w:r w:rsidRPr="00357286">
        <w:rPr>
          <w:rFonts w:ascii="Arial" w:hAnsi="Arial"/>
        </w:rPr>
        <w:t xml:space="preserve">l’article 309 du </w:t>
      </w:r>
      <w:r w:rsidR="005D2D75">
        <w:rPr>
          <w:rFonts w:ascii="Arial" w:hAnsi="Arial"/>
        </w:rPr>
        <w:t>Code</w:t>
      </w:r>
      <w:r w:rsidRPr="00357286">
        <w:rPr>
          <w:rFonts w:ascii="Arial" w:hAnsi="Arial"/>
        </w:rPr>
        <w:t xml:space="preserve"> pénal a permis à la jurisprudence de dégager la nécessité de la réunion d’un élément matériel et d’un élément moral</w:t>
      </w:r>
      <w:r w:rsidR="005D2D75">
        <w:rPr>
          <w:rFonts w:ascii="Arial" w:hAnsi="Arial"/>
        </w:rPr>
        <w:t xml:space="preserve"> ; </w:t>
      </w:r>
      <w:r w:rsidRPr="00357286">
        <w:rPr>
          <w:rFonts w:ascii="Arial" w:hAnsi="Arial"/>
        </w:rPr>
        <w:t xml:space="preserve">l’article 1382 du Code civil </w:t>
      </w:r>
      <w:r w:rsidR="00FD4D52">
        <w:rPr>
          <w:rFonts w:ascii="Arial" w:hAnsi="Arial"/>
        </w:rPr>
        <w:t xml:space="preserve">qui </w:t>
      </w:r>
      <w:r w:rsidRPr="00357286">
        <w:rPr>
          <w:rFonts w:ascii="Arial" w:hAnsi="Arial"/>
        </w:rPr>
        <w:t>engage la responsabilité civile et exige que la personne ayant causé un préjudice à autrui doive le réparer</w:t>
      </w:r>
      <w:r w:rsidR="000157BE">
        <w:rPr>
          <w:rFonts w:ascii="Arial" w:hAnsi="Arial"/>
        </w:rPr>
        <w:t xml:space="preserve"> ; </w:t>
      </w:r>
      <w:r w:rsidR="005D2D75">
        <w:rPr>
          <w:rFonts w:ascii="Arial" w:hAnsi="Arial"/>
        </w:rPr>
        <w:t>le</w:t>
      </w:r>
      <w:r w:rsidR="000157BE">
        <w:rPr>
          <w:rFonts w:ascii="Arial" w:hAnsi="Arial"/>
        </w:rPr>
        <w:t xml:space="preserve">s principes du </w:t>
      </w:r>
      <w:r w:rsidRPr="00357286">
        <w:rPr>
          <w:rFonts w:ascii="Arial" w:hAnsi="Arial"/>
        </w:rPr>
        <w:t xml:space="preserve">droit contractuel </w:t>
      </w:r>
      <w:r w:rsidR="000157BE">
        <w:rPr>
          <w:rFonts w:ascii="Arial" w:hAnsi="Arial"/>
        </w:rPr>
        <w:t xml:space="preserve">qui </w:t>
      </w:r>
      <w:r w:rsidR="005D2D75">
        <w:rPr>
          <w:rFonts w:ascii="Arial" w:hAnsi="Arial"/>
        </w:rPr>
        <w:t>implique</w:t>
      </w:r>
      <w:r w:rsidR="000157BE">
        <w:rPr>
          <w:rFonts w:ascii="Arial" w:hAnsi="Arial"/>
        </w:rPr>
        <w:t>nt</w:t>
      </w:r>
      <w:r w:rsidRPr="00357286">
        <w:rPr>
          <w:rFonts w:ascii="Arial" w:hAnsi="Arial"/>
        </w:rPr>
        <w:t xml:space="preserve"> que toute partie à un contrat est censée exécuter le contrat de bonne foi en vertu de l’article 1134 du Code civil</w:t>
      </w:r>
      <w:r w:rsidR="000157BE">
        <w:rPr>
          <w:rFonts w:ascii="Arial" w:hAnsi="Arial"/>
        </w:rPr>
        <w:t>. É</w:t>
      </w:r>
      <w:r w:rsidR="000157BE" w:rsidRPr="00357286">
        <w:rPr>
          <w:rFonts w:ascii="Arial" w:hAnsi="Arial"/>
        </w:rPr>
        <w:t>galement</w:t>
      </w:r>
      <w:r w:rsidRPr="00357286">
        <w:rPr>
          <w:rFonts w:ascii="Arial" w:hAnsi="Arial"/>
        </w:rPr>
        <w:t xml:space="preserve"> le droit de la concurrence déloyale est </w:t>
      </w:r>
      <w:r w:rsidR="00FD4D52">
        <w:rPr>
          <w:rFonts w:ascii="Arial" w:hAnsi="Arial"/>
        </w:rPr>
        <w:t>appliqué</w:t>
      </w:r>
      <w:r w:rsidRPr="00357286">
        <w:rPr>
          <w:rFonts w:ascii="Arial" w:hAnsi="Arial"/>
        </w:rPr>
        <w:t xml:space="preserve"> aux litiges opposant deux concurrents potentiels.</w:t>
      </w:r>
    </w:p>
    <w:p w:rsidR="00357286" w:rsidRPr="00357286" w:rsidRDefault="00357286" w:rsidP="00357286">
      <w:pPr>
        <w:spacing w:after="0" w:line="240" w:lineRule="auto"/>
        <w:jc w:val="both"/>
        <w:rPr>
          <w:rFonts w:ascii="Arial" w:hAnsi="Arial"/>
        </w:rPr>
      </w:pPr>
    </w:p>
    <w:p w:rsidR="00357286" w:rsidRPr="00FD4D52" w:rsidRDefault="00357286" w:rsidP="00357286">
      <w:pPr>
        <w:spacing w:after="0" w:line="240" w:lineRule="auto"/>
        <w:jc w:val="both"/>
        <w:rPr>
          <w:rFonts w:ascii="Arial" w:hAnsi="Arial"/>
        </w:rPr>
      </w:pPr>
      <w:r w:rsidRPr="00357286">
        <w:rPr>
          <w:rFonts w:ascii="Arial" w:hAnsi="Arial"/>
        </w:rPr>
        <w:t>Compte tenu de l’absence de législation spécifique sur la protection des secrets d’affaires, il a été décidé de prévoir un texte de loi autonome</w:t>
      </w:r>
      <w:r w:rsidR="000157BE">
        <w:rPr>
          <w:rFonts w:ascii="Arial" w:hAnsi="Arial"/>
        </w:rPr>
        <w:t xml:space="preserve">, reprenant </w:t>
      </w:r>
      <w:r w:rsidRPr="00357286">
        <w:rPr>
          <w:rFonts w:ascii="Arial" w:hAnsi="Arial"/>
        </w:rPr>
        <w:t>le plus littéralement possible les termes de la directive.</w:t>
      </w:r>
    </w:p>
    <w:p w:rsidR="00FD4D52" w:rsidRPr="00357286" w:rsidRDefault="00FD4D52" w:rsidP="00357286">
      <w:pPr>
        <w:spacing w:after="0" w:line="240" w:lineRule="auto"/>
        <w:jc w:val="both"/>
        <w:rPr>
          <w:rFonts w:ascii="Arial" w:hAnsi="Arial"/>
        </w:rPr>
      </w:pPr>
    </w:p>
    <w:bookmarkEnd w:id="1"/>
    <w:p w:rsidR="00CB5BD1" w:rsidRPr="00FD4D52" w:rsidRDefault="00FD4D52" w:rsidP="00FD4D52">
      <w:pPr>
        <w:jc w:val="center"/>
        <w:rPr>
          <w:rFonts w:ascii="Arial" w:hAnsi="Arial"/>
        </w:rPr>
      </w:pPr>
      <w:r w:rsidRPr="00FD4D52">
        <w:rPr>
          <w:rFonts w:ascii="Arial" w:hAnsi="Arial"/>
        </w:rPr>
        <w:t>*</w:t>
      </w:r>
    </w:p>
    <w:sectPr w:rsidR="00CB5BD1" w:rsidRPr="00FD4D52" w:rsidSect="00B424F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E6C" w:rsidRDefault="00260E6C" w:rsidP="00357286">
      <w:pPr>
        <w:spacing w:after="0" w:line="240" w:lineRule="auto"/>
      </w:pPr>
      <w:r>
        <w:separator/>
      </w:r>
    </w:p>
  </w:endnote>
  <w:endnote w:type="continuationSeparator" w:id="0">
    <w:p w:rsidR="00260E6C" w:rsidRDefault="00260E6C" w:rsidP="00357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E6C" w:rsidRDefault="00260E6C" w:rsidP="00357286">
      <w:pPr>
        <w:spacing w:after="0" w:line="240" w:lineRule="auto"/>
      </w:pPr>
      <w:r>
        <w:separator/>
      </w:r>
    </w:p>
  </w:footnote>
  <w:footnote w:type="continuationSeparator" w:id="0">
    <w:p w:rsidR="00260E6C" w:rsidRDefault="00260E6C" w:rsidP="003572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5BD1"/>
    <w:rsid w:val="000157BE"/>
    <w:rsid w:val="000861F5"/>
    <w:rsid w:val="001E422A"/>
    <w:rsid w:val="00260E6C"/>
    <w:rsid w:val="00357286"/>
    <w:rsid w:val="005214C1"/>
    <w:rsid w:val="005D2D75"/>
    <w:rsid w:val="00790EF5"/>
    <w:rsid w:val="008E05EC"/>
    <w:rsid w:val="009029C8"/>
    <w:rsid w:val="009D38CD"/>
    <w:rsid w:val="00B424FD"/>
    <w:rsid w:val="00CB5BD1"/>
    <w:rsid w:val="00F51022"/>
    <w:rsid w:val="00FD4D5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856AE1F-0102-4F72-BDF5-1A8622660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357286"/>
    <w:pPr>
      <w:spacing w:after="0" w:line="240" w:lineRule="auto"/>
      <w:jc w:val="both"/>
    </w:pPr>
    <w:rPr>
      <w:rFonts w:ascii="Tahoma" w:hAnsi="Tahoma" w:cs="Times New Roman"/>
      <w:sz w:val="20"/>
      <w:szCs w:val="20"/>
      <w:lang w:val="fr-LU"/>
    </w:rPr>
  </w:style>
  <w:style w:type="character" w:customStyle="1" w:styleId="NotedebasdepageCar">
    <w:name w:val="Note de bas de page Car"/>
    <w:link w:val="Notedebasdepage"/>
    <w:uiPriority w:val="99"/>
    <w:rsid w:val="00357286"/>
    <w:rPr>
      <w:rFonts w:ascii="Tahoma" w:hAnsi="Tahoma" w:cs="Times New Roman"/>
      <w:lang w:val="fr-LU" w:eastAsia="en-US"/>
    </w:rPr>
  </w:style>
  <w:style w:type="character" w:styleId="Appelnotedebasdep">
    <w:name w:val="footnote reference"/>
    <w:aliases w:val="Footnote symbol,Footnote reference number,Times 10 Point,Exposant 3 Point,EN Footnote Reference,note TESI,SUPERS,Nota,Footnote number,Char1,Ref,de nota al pie,EN Footnote text,Footnote Reference_LVL6,E..."/>
    <w:uiPriority w:val="99"/>
    <w:unhideWhenUsed/>
    <w:rsid w:val="003572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DP7353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7353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/sftpecos/Dossiers_parlementaires/7353/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CA0EA1CC-470C-4AE4-B4FA-3E15B2893B37}"/>
</file>

<file path=customXml/itemProps2.xml><?xml version="1.0" encoding="utf-8"?>
<ds:datastoreItem xmlns:ds="http://schemas.openxmlformats.org/officeDocument/2006/customXml" ds:itemID="{24892478-C98E-4949-BDA5-464739190879}"/>
</file>

<file path=customXml/itemProps3.xml><?xml version="1.0" encoding="utf-8"?>
<ds:datastoreItem xmlns:ds="http://schemas.openxmlformats.org/officeDocument/2006/customXml" ds:itemID="{2A4F3C4B-A55A-48B9-8DAE-188A6F5E02C4}"/>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1966</Characters>
  <Application>Microsoft Office Word</Application>
  <DocSecurity>4</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Timon Oesch</dc:creator>
  <cp:keywords/>
  <dc:description/>
  <cp:lastModifiedBy>SYSTEM</cp:lastModifiedBy>
  <cp:revision>2</cp:revision>
  <dcterms:created xsi:type="dcterms:W3CDTF">2024-02-21T07:55:00Z</dcterms:created>
  <dcterms:modified xsi:type="dcterms:W3CDTF">2024-02-21T07:55:00Z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