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61A" w:rsidRPr="004905DC" w:rsidRDefault="00AC161A" w:rsidP="004905DC">
      <w:pPr>
        <w:spacing w:after="0" w:line="240" w:lineRule="auto"/>
        <w:ind w:right="-426"/>
        <w:rPr>
          <w:rFonts w:ascii="Arial" w:eastAsia="Times New Roman" w:hAnsi="Arial"/>
          <w:b/>
          <w:sz w:val="28"/>
          <w:szCs w:val="28"/>
          <w:u w:val="single"/>
          <w:lang w:val="fr-FR" w:eastAsia="fr-FR"/>
        </w:rPr>
      </w:pPr>
      <w:bookmarkStart w:id="0" w:name="_GoBack"/>
      <w:bookmarkEnd w:id="0"/>
      <w:r w:rsidRPr="004905DC">
        <w:rPr>
          <w:rFonts w:ascii="Arial" w:eastAsia="Times New Roman" w:hAnsi="Arial"/>
          <w:b/>
          <w:sz w:val="28"/>
          <w:szCs w:val="28"/>
          <w:u w:val="single"/>
          <w:lang w:val="fr-FR" w:eastAsia="fr-FR"/>
        </w:rPr>
        <w:t>Projet de loi n°7351 (PL 7351) relative à l’accessibilité des sites internet et des applications mobiles des organismes du secteur public</w:t>
      </w:r>
    </w:p>
    <w:p w:rsidR="00AC161A" w:rsidRDefault="00AC161A" w:rsidP="00AC161A">
      <w:pPr>
        <w:autoSpaceDE w:val="0"/>
        <w:autoSpaceDN w:val="0"/>
        <w:adjustRightInd w:val="0"/>
        <w:spacing w:after="40" w:line="201" w:lineRule="atLeast"/>
        <w:ind w:left="1080" w:hanging="1080"/>
        <w:jc w:val="both"/>
        <w:rPr>
          <w:rFonts w:ascii="Arial" w:hAnsi="Arial" w:cs="Arial"/>
          <w:color w:val="000000"/>
          <w:lang w:eastAsia="fr-LU"/>
        </w:rPr>
      </w:pPr>
    </w:p>
    <w:p w:rsidR="00AC161A" w:rsidRDefault="00AC161A" w:rsidP="00AC161A">
      <w:pPr>
        <w:autoSpaceDE w:val="0"/>
        <w:autoSpaceDN w:val="0"/>
        <w:adjustRightInd w:val="0"/>
        <w:spacing w:after="40" w:line="201" w:lineRule="atLeast"/>
        <w:jc w:val="both"/>
        <w:rPr>
          <w:rFonts w:ascii="Arial" w:hAnsi="Arial" w:cs="Arial"/>
          <w:color w:val="000000"/>
          <w:lang w:eastAsia="fr-LU"/>
        </w:rPr>
      </w:pPr>
      <w:r w:rsidRPr="004B0645">
        <w:rPr>
          <w:rFonts w:ascii="Arial" w:hAnsi="Arial" w:cs="Arial"/>
          <w:lang w:val="fr-CH" w:eastAsia="fr-FR"/>
        </w:rPr>
        <w:t xml:space="preserve">Dans le souci de renforcer l’intégration des personnes souffrant d’un handicap dans le domaine virtuel, l’Union européenne a adopté </w:t>
      </w:r>
      <w:r w:rsidRPr="00AC161A">
        <w:rPr>
          <w:rFonts w:ascii="Arial" w:hAnsi="Arial" w:cs="Arial"/>
          <w:u w:val="single"/>
          <w:lang w:val="fr-CH" w:eastAsia="fr-FR"/>
        </w:rPr>
        <w:t>plusieurs actes législatifs</w:t>
      </w:r>
      <w:r w:rsidRPr="004B0645">
        <w:rPr>
          <w:rFonts w:ascii="Arial" w:hAnsi="Arial" w:cs="Arial"/>
          <w:lang w:val="fr-CH" w:eastAsia="fr-FR"/>
        </w:rPr>
        <w:t xml:space="preserve"> jusqu’à présent, à savoir les </w:t>
      </w:r>
      <w:r w:rsidRPr="005D418E">
        <w:rPr>
          <w:rFonts w:ascii="Arial" w:hAnsi="Arial" w:cs="Arial"/>
          <w:b/>
          <w:color w:val="00B050"/>
          <w:lang w:val="fr-CH" w:eastAsia="fr-FR"/>
        </w:rPr>
        <w:t>règlements</w:t>
      </w:r>
      <w:r w:rsidRPr="004B0645">
        <w:rPr>
          <w:rFonts w:ascii="Arial" w:hAnsi="Arial" w:cs="Arial"/>
          <w:lang w:val="fr-CH" w:eastAsia="fr-FR"/>
        </w:rPr>
        <w:t xml:space="preserve"> </w:t>
      </w:r>
    </w:p>
    <w:p w:rsidR="00AC161A" w:rsidRDefault="00AC161A" w:rsidP="004905DC">
      <w:pPr>
        <w:autoSpaceDE w:val="0"/>
        <w:autoSpaceDN w:val="0"/>
        <w:adjustRightInd w:val="0"/>
        <w:spacing w:after="40" w:line="201" w:lineRule="atLeast"/>
        <w:ind w:left="1080" w:hanging="513"/>
        <w:jc w:val="both"/>
        <w:rPr>
          <w:rFonts w:ascii="Arial" w:hAnsi="Arial" w:cs="Arial"/>
          <w:color w:val="000000"/>
          <w:lang w:eastAsia="fr-LU"/>
        </w:rPr>
      </w:pPr>
      <w:r>
        <w:rPr>
          <w:rFonts w:ascii="Arial" w:hAnsi="Arial" w:cs="Arial"/>
          <w:color w:val="000000"/>
          <w:lang w:eastAsia="fr-LU"/>
        </w:rPr>
        <w:t xml:space="preserve">- </w:t>
      </w:r>
      <w:r w:rsidRPr="005D418E">
        <w:rPr>
          <w:rFonts w:ascii="Arial" w:hAnsi="Arial" w:cs="Arial"/>
          <w:b/>
          <w:color w:val="00B050"/>
          <w:u w:val="single"/>
          <w:lang w:eastAsia="fr-LU"/>
        </w:rPr>
        <w:t xml:space="preserve">(UE) </w:t>
      </w:r>
      <w:r w:rsidRPr="005D418E">
        <w:rPr>
          <w:rFonts w:ascii="Arial" w:hAnsi="Arial" w:cs="Arial"/>
          <w:b/>
          <w:color w:val="00B050"/>
          <w:u w:val="single"/>
          <w:lang w:val="fr-CH" w:eastAsia="fr-FR"/>
        </w:rPr>
        <w:t>n° 1303/2013</w:t>
      </w:r>
      <w:r>
        <w:rPr>
          <w:rFonts w:ascii="Arial" w:hAnsi="Arial" w:cs="Arial"/>
          <w:lang w:val="fr-CH" w:eastAsia="fr-FR"/>
        </w:rPr>
        <w:t>, et</w:t>
      </w:r>
    </w:p>
    <w:p w:rsidR="00AC161A" w:rsidRDefault="00AC161A" w:rsidP="004905DC">
      <w:pPr>
        <w:autoSpaceDE w:val="0"/>
        <w:autoSpaceDN w:val="0"/>
        <w:adjustRightInd w:val="0"/>
        <w:spacing w:after="40" w:line="201" w:lineRule="atLeast"/>
        <w:ind w:left="1080" w:hanging="513"/>
        <w:jc w:val="both"/>
        <w:rPr>
          <w:rFonts w:ascii="Arial" w:hAnsi="Arial" w:cs="Arial"/>
          <w:color w:val="000000"/>
          <w:lang w:eastAsia="fr-LU"/>
        </w:rPr>
      </w:pPr>
      <w:r>
        <w:rPr>
          <w:rFonts w:ascii="Arial" w:hAnsi="Arial" w:cs="Arial"/>
          <w:color w:val="000000"/>
          <w:lang w:eastAsia="fr-LU"/>
        </w:rPr>
        <w:t xml:space="preserve">- </w:t>
      </w:r>
      <w:r w:rsidRPr="00AC161A">
        <w:rPr>
          <w:rFonts w:ascii="Arial" w:hAnsi="Arial" w:cs="Arial"/>
          <w:u w:val="single"/>
          <w:lang w:val="fr-CH" w:eastAsia="fr-FR"/>
        </w:rPr>
        <w:t>(</w:t>
      </w:r>
      <w:r w:rsidRPr="005D418E">
        <w:rPr>
          <w:rFonts w:ascii="Arial" w:hAnsi="Arial" w:cs="Arial"/>
          <w:b/>
          <w:color w:val="00B050"/>
          <w:u w:val="single"/>
          <w:lang w:val="fr-CH" w:eastAsia="fr-FR"/>
        </w:rPr>
        <w:t>UE) n° 1304/2013</w:t>
      </w:r>
    </w:p>
    <w:p w:rsidR="00AC161A" w:rsidRDefault="00AC161A" w:rsidP="00AC161A">
      <w:pPr>
        <w:autoSpaceDE w:val="0"/>
        <w:autoSpaceDN w:val="0"/>
        <w:adjustRightInd w:val="0"/>
        <w:spacing w:after="40" w:line="201" w:lineRule="atLeast"/>
        <w:jc w:val="both"/>
        <w:rPr>
          <w:rFonts w:ascii="Arial" w:hAnsi="Arial" w:cs="Arial"/>
          <w:color w:val="000000"/>
          <w:lang w:eastAsia="fr-LU"/>
        </w:rPr>
      </w:pPr>
      <w:r w:rsidRPr="004B0645">
        <w:rPr>
          <w:rFonts w:ascii="Arial" w:hAnsi="Arial" w:cs="Arial"/>
          <w:lang w:val="fr-CH" w:eastAsia="fr-FR"/>
        </w:rPr>
        <w:t>du Parlement européen et du Conseil (UE)</w:t>
      </w:r>
      <w:r>
        <w:rPr>
          <w:rFonts w:ascii="Arial" w:hAnsi="Arial" w:cs="Arial"/>
          <w:lang w:val="fr-CH" w:eastAsia="fr-FR"/>
        </w:rPr>
        <w:t xml:space="preserve"> </w:t>
      </w:r>
      <w:r w:rsidRPr="004B0645">
        <w:rPr>
          <w:rFonts w:ascii="Arial" w:hAnsi="Arial" w:cs="Arial"/>
          <w:lang w:val="fr-CH" w:eastAsia="fr-FR"/>
        </w:rPr>
        <w:t xml:space="preserve">qui prévoient des </w:t>
      </w:r>
      <w:r w:rsidRPr="005D418E">
        <w:rPr>
          <w:rFonts w:ascii="Arial" w:hAnsi="Arial" w:cs="Arial"/>
          <w:lang w:val="fr-CH" w:eastAsia="fr-FR"/>
        </w:rPr>
        <w:t>mesures relatives à</w:t>
      </w:r>
      <w:r w:rsidRPr="004B0645">
        <w:rPr>
          <w:rFonts w:ascii="Arial" w:hAnsi="Arial" w:cs="Arial"/>
          <w:lang w:val="fr-CH" w:eastAsia="fr-FR"/>
        </w:rPr>
        <w:t xml:space="preserve"> </w:t>
      </w:r>
      <w:r w:rsidRPr="005D418E">
        <w:rPr>
          <w:rFonts w:ascii="Arial" w:hAnsi="Arial" w:cs="Arial"/>
          <w:u w:val="single"/>
          <w:lang w:val="fr-CH" w:eastAsia="fr-FR"/>
        </w:rPr>
        <w:t>l’accessibilité aux technologies de l’information et de la communication (TIC)</w:t>
      </w:r>
      <w:r w:rsidRPr="004B0645">
        <w:rPr>
          <w:rFonts w:ascii="Arial" w:hAnsi="Arial" w:cs="Arial"/>
          <w:lang w:val="fr-CH" w:eastAsia="fr-FR"/>
        </w:rPr>
        <w:t>.</w:t>
      </w:r>
    </w:p>
    <w:p w:rsidR="00AC161A" w:rsidRDefault="00AC161A" w:rsidP="00AC161A">
      <w:pPr>
        <w:autoSpaceDE w:val="0"/>
        <w:autoSpaceDN w:val="0"/>
        <w:adjustRightInd w:val="0"/>
        <w:spacing w:after="40" w:line="201" w:lineRule="atLeast"/>
        <w:ind w:left="1080" w:hanging="1080"/>
        <w:jc w:val="both"/>
        <w:rPr>
          <w:rFonts w:ascii="Arial" w:hAnsi="Arial" w:cs="Arial"/>
          <w:color w:val="000000"/>
          <w:lang w:eastAsia="fr-LU"/>
        </w:rPr>
      </w:pPr>
    </w:p>
    <w:p w:rsidR="005D418E" w:rsidRPr="00CE263E" w:rsidRDefault="005D418E" w:rsidP="005D418E">
      <w:pPr>
        <w:spacing w:line="256" w:lineRule="auto"/>
        <w:jc w:val="both"/>
        <w:rPr>
          <w:rFonts w:ascii="Arial" w:hAnsi="Arial" w:cs="Arial"/>
          <w:lang w:val="fr-CH"/>
        </w:rPr>
      </w:pPr>
      <w:r w:rsidRPr="00CE263E">
        <w:rPr>
          <w:rFonts w:ascii="Arial" w:hAnsi="Arial" w:cs="Arial"/>
          <w:lang w:val="fr-CH"/>
        </w:rPr>
        <w:t xml:space="preserve">L’objet du </w:t>
      </w:r>
      <w:r w:rsidRPr="00CE263E">
        <w:rPr>
          <w:rFonts w:ascii="Arial" w:hAnsi="Arial" w:cs="Arial"/>
          <w:b/>
          <w:lang w:val="fr-CH"/>
        </w:rPr>
        <w:t>PL 7351</w:t>
      </w:r>
      <w:r w:rsidRPr="00CE263E">
        <w:rPr>
          <w:rFonts w:ascii="Arial" w:hAnsi="Arial" w:cs="Arial"/>
          <w:lang w:val="fr-CH"/>
        </w:rPr>
        <w:t xml:space="preserve"> consiste en la transposition en droit national de la </w:t>
      </w:r>
      <w:r w:rsidRPr="005D418E">
        <w:rPr>
          <w:rFonts w:ascii="Arial" w:hAnsi="Arial" w:cs="Arial"/>
          <w:b/>
          <w:color w:val="FF0000"/>
          <w:lang w:val="fr-CH"/>
        </w:rPr>
        <w:t>directive</w:t>
      </w:r>
      <w:r w:rsidRPr="005D418E">
        <w:rPr>
          <w:rFonts w:ascii="Arial" w:hAnsi="Arial" w:cs="Arial"/>
          <w:lang w:val="fr-CH"/>
        </w:rPr>
        <w:t xml:space="preserve"> </w:t>
      </w:r>
      <w:r w:rsidRPr="005D418E">
        <w:rPr>
          <w:rFonts w:ascii="Arial" w:hAnsi="Arial" w:cs="Arial"/>
          <w:b/>
          <w:color w:val="FF0000"/>
          <w:u w:val="single"/>
          <w:lang w:val="fr-CH"/>
        </w:rPr>
        <w:t>(UE) 2016/2102</w:t>
      </w:r>
      <w:r w:rsidRPr="005D418E">
        <w:rPr>
          <w:rFonts w:ascii="Arial" w:hAnsi="Arial" w:cs="Arial"/>
          <w:lang w:val="fr-CH"/>
        </w:rPr>
        <w:t xml:space="preserve"> du Parlement européen et du Conseil du 26 octobre 2016 relative à </w:t>
      </w:r>
      <w:r w:rsidRPr="005D418E">
        <w:rPr>
          <w:rFonts w:ascii="Arial" w:hAnsi="Arial" w:cs="Arial"/>
          <w:u w:val="single"/>
          <w:lang w:val="fr-CH"/>
        </w:rPr>
        <w:t xml:space="preserve">l’accessibilité des sites </w:t>
      </w:r>
      <w:r w:rsidR="004905DC">
        <w:rPr>
          <w:rFonts w:ascii="Arial" w:hAnsi="Arial" w:cs="Arial"/>
          <w:u w:val="single"/>
          <w:lang w:val="fr-CH"/>
        </w:rPr>
        <w:t>i</w:t>
      </w:r>
      <w:r w:rsidRPr="005D418E">
        <w:rPr>
          <w:rFonts w:ascii="Arial" w:hAnsi="Arial" w:cs="Arial"/>
          <w:u w:val="single"/>
          <w:lang w:val="fr-CH"/>
        </w:rPr>
        <w:t>nternet et des applications mobiles des organismes du secteur public</w:t>
      </w:r>
      <w:r>
        <w:rPr>
          <w:rFonts w:ascii="Arial" w:hAnsi="Arial" w:cs="Arial"/>
          <w:lang w:val="fr-CH"/>
        </w:rPr>
        <w:t>.</w:t>
      </w:r>
    </w:p>
    <w:p w:rsidR="005D418E" w:rsidRDefault="005D418E" w:rsidP="005D418E">
      <w:pPr>
        <w:jc w:val="both"/>
        <w:rPr>
          <w:rFonts w:ascii="Arial" w:hAnsi="Arial" w:cs="Arial"/>
          <w:lang w:val="fr-CH" w:eastAsia="fr-FR"/>
        </w:rPr>
      </w:pPr>
      <w:r w:rsidRPr="00CE263E">
        <w:rPr>
          <w:rFonts w:ascii="Arial" w:hAnsi="Arial" w:cs="Arial"/>
          <w:lang w:val="fr-CH" w:eastAsia="fr-FR"/>
        </w:rPr>
        <w:t xml:space="preserve">La </w:t>
      </w:r>
      <w:r w:rsidRPr="005D418E">
        <w:rPr>
          <w:rFonts w:ascii="Arial" w:hAnsi="Arial" w:cs="Arial"/>
          <w:b/>
          <w:color w:val="FF0000"/>
          <w:lang w:val="fr-CH"/>
        </w:rPr>
        <w:t>directive</w:t>
      </w:r>
      <w:r w:rsidRPr="005D418E">
        <w:rPr>
          <w:rFonts w:ascii="Arial" w:hAnsi="Arial" w:cs="Arial"/>
          <w:lang w:val="fr-CH"/>
        </w:rPr>
        <w:t xml:space="preserve"> </w:t>
      </w:r>
      <w:r w:rsidRPr="005D418E">
        <w:rPr>
          <w:rFonts w:ascii="Arial" w:hAnsi="Arial" w:cs="Arial"/>
          <w:b/>
          <w:color w:val="FF0000"/>
          <w:u w:val="single"/>
          <w:lang w:val="fr-CH"/>
        </w:rPr>
        <w:t>(UE) 2016/2102</w:t>
      </w:r>
      <w:r w:rsidRPr="005D418E">
        <w:rPr>
          <w:rFonts w:ascii="Arial" w:hAnsi="Arial" w:cs="Arial"/>
          <w:lang w:val="fr-CH"/>
        </w:rPr>
        <w:t xml:space="preserve"> </w:t>
      </w:r>
      <w:r w:rsidRPr="00CE263E">
        <w:rPr>
          <w:rFonts w:ascii="Arial" w:hAnsi="Arial" w:cs="Arial"/>
          <w:lang w:val="fr-CH" w:eastAsia="fr-FR"/>
        </w:rPr>
        <w:t>complète</w:t>
      </w:r>
      <w:r w:rsidRPr="004B0645">
        <w:rPr>
          <w:rFonts w:ascii="Arial" w:hAnsi="Arial" w:cs="Arial"/>
          <w:lang w:val="fr-CH" w:eastAsia="fr-FR"/>
        </w:rPr>
        <w:t xml:space="preserve"> </w:t>
      </w:r>
      <w:r>
        <w:rPr>
          <w:rFonts w:ascii="Arial" w:hAnsi="Arial" w:cs="Arial"/>
          <w:lang w:val="fr-CH" w:eastAsia="fr-FR"/>
        </w:rPr>
        <w:t xml:space="preserve">les </w:t>
      </w:r>
      <w:r w:rsidRPr="005D418E">
        <w:rPr>
          <w:rFonts w:ascii="Arial" w:hAnsi="Arial" w:cs="Arial"/>
          <w:b/>
          <w:color w:val="00B050"/>
          <w:lang w:val="fr-CH" w:eastAsia="fr-FR"/>
        </w:rPr>
        <w:t>règlements</w:t>
      </w:r>
      <w:r>
        <w:rPr>
          <w:rFonts w:ascii="Arial" w:hAnsi="Arial" w:cs="Arial"/>
          <w:lang w:val="fr-CH" w:eastAsia="fr-FR"/>
        </w:rPr>
        <w:t xml:space="preserve"> mentionnés plus haut</w:t>
      </w:r>
      <w:r w:rsidRPr="004B0645">
        <w:rPr>
          <w:rFonts w:ascii="Arial" w:hAnsi="Arial" w:cs="Arial"/>
          <w:lang w:val="fr-CH" w:eastAsia="fr-FR"/>
        </w:rPr>
        <w:t xml:space="preserve"> en introduisant des obligations pour garantir l’accessibilité des </w:t>
      </w:r>
      <w:r w:rsidRPr="005D418E">
        <w:rPr>
          <w:rFonts w:ascii="Arial" w:hAnsi="Arial" w:cs="Arial"/>
          <w:u w:val="single"/>
          <w:lang w:val="fr-CH" w:eastAsia="fr-FR"/>
        </w:rPr>
        <w:t xml:space="preserve">sites </w:t>
      </w:r>
      <w:r w:rsidR="004905DC">
        <w:rPr>
          <w:rFonts w:ascii="Arial" w:hAnsi="Arial" w:cs="Arial"/>
          <w:u w:val="single"/>
          <w:lang w:val="fr-CH" w:eastAsia="fr-FR"/>
        </w:rPr>
        <w:t>i</w:t>
      </w:r>
      <w:r w:rsidRPr="005D418E">
        <w:rPr>
          <w:rFonts w:ascii="Arial" w:hAnsi="Arial" w:cs="Arial"/>
          <w:u w:val="single"/>
          <w:lang w:val="fr-CH" w:eastAsia="fr-FR"/>
        </w:rPr>
        <w:t>nternet</w:t>
      </w:r>
      <w:r w:rsidRPr="004B0645">
        <w:rPr>
          <w:rFonts w:ascii="Arial" w:hAnsi="Arial" w:cs="Arial"/>
          <w:lang w:val="fr-CH" w:eastAsia="fr-FR"/>
        </w:rPr>
        <w:t xml:space="preserve"> et des </w:t>
      </w:r>
      <w:r w:rsidRPr="005D418E">
        <w:rPr>
          <w:rFonts w:ascii="Arial" w:hAnsi="Arial" w:cs="Arial"/>
          <w:u w:val="single"/>
          <w:lang w:val="fr-CH" w:eastAsia="fr-FR"/>
        </w:rPr>
        <w:t>applications mobiles des organismes publics.</w:t>
      </w:r>
    </w:p>
    <w:p w:rsidR="005D418E" w:rsidRPr="004B0645" w:rsidRDefault="005D418E" w:rsidP="005D418E">
      <w:pPr>
        <w:jc w:val="both"/>
        <w:rPr>
          <w:rFonts w:ascii="Arial" w:hAnsi="Arial" w:cs="Arial"/>
          <w:lang w:val="fr-CH" w:eastAsia="fr-FR"/>
        </w:rPr>
      </w:pPr>
      <w:r w:rsidRPr="004B0645">
        <w:rPr>
          <w:rFonts w:ascii="Arial" w:hAnsi="Arial" w:cs="Arial"/>
          <w:lang w:val="fr-CH" w:eastAsia="fr-FR"/>
        </w:rPr>
        <w:t>La notion d’organismes publics dans ce contexte est à prendre au sens large du terme et inclut non seulement les administrations publiques, mais aussi les communes, les établissements publics, ainsi que les établissements scolaires et les crèches, pour ce qui est des fonctions administratives essentielles.</w:t>
      </w:r>
    </w:p>
    <w:p w:rsidR="005D418E" w:rsidRDefault="005D418E" w:rsidP="005D418E">
      <w:pPr>
        <w:jc w:val="both"/>
        <w:rPr>
          <w:rFonts w:ascii="Arial" w:hAnsi="Arial" w:cs="Arial"/>
          <w:lang w:val="fr-CH" w:eastAsia="fr-FR"/>
        </w:rPr>
      </w:pPr>
      <w:r w:rsidRPr="00CE263E">
        <w:rPr>
          <w:rFonts w:ascii="Arial" w:hAnsi="Arial" w:cs="Arial"/>
          <w:lang w:val="fr-CH" w:eastAsia="fr-FR"/>
        </w:rPr>
        <w:t xml:space="preserve">Selon le </w:t>
      </w:r>
      <w:r w:rsidRPr="00CE263E">
        <w:rPr>
          <w:rFonts w:ascii="Arial" w:hAnsi="Arial" w:cs="Arial"/>
          <w:b/>
          <w:lang w:val="fr-CH"/>
        </w:rPr>
        <w:t>PL 7351</w:t>
      </w:r>
      <w:r w:rsidRPr="00CE263E">
        <w:rPr>
          <w:rFonts w:ascii="Arial" w:hAnsi="Arial" w:cs="Arial"/>
          <w:lang w:val="fr-CH" w:eastAsia="fr-FR"/>
        </w:rPr>
        <w:t xml:space="preserve">, sont qualifiés conformes aux exigences d’accessibilité les </w:t>
      </w:r>
      <w:r w:rsidRPr="005D418E">
        <w:rPr>
          <w:rFonts w:ascii="Arial" w:hAnsi="Arial" w:cs="Arial"/>
          <w:u w:val="single"/>
          <w:lang w:val="fr-CH" w:eastAsia="fr-FR"/>
        </w:rPr>
        <w:t xml:space="preserve">sites </w:t>
      </w:r>
      <w:r w:rsidR="004905DC">
        <w:rPr>
          <w:rFonts w:ascii="Arial" w:hAnsi="Arial" w:cs="Arial"/>
          <w:u w:val="single"/>
          <w:lang w:val="fr-CH" w:eastAsia="fr-FR"/>
        </w:rPr>
        <w:t>i</w:t>
      </w:r>
      <w:r w:rsidRPr="005D418E">
        <w:rPr>
          <w:rFonts w:ascii="Arial" w:hAnsi="Arial" w:cs="Arial"/>
          <w:u w:val="single"/>
          <w:lang w:val="fr-CH" w:eastAsia="fr-FR"/>
        </w:rPr>
        <w:t>nternet</w:t>
      </w:r>
      <w:r w:rsidRPr="00CE263E">
        <w:rPr>
          <w:rFonts w:ascii="Arial" w:hAnsi="Arial" w:cs="Arial"/>
          <w:lang w:val="fr-CH" w:eastAsia="fr-FR"/>
        </w:rPr>
        <w:t xml:space="preserve"> et </w:t>
      </w:r>
      <w:r w:rsidRPr="005D418E">
        <w:rPr>
          <w:rFonts w:ascii="Arial" w:hAnsi="Arial" w:cs="Arial"/>
          <w:u w:val="single"/>
          <w:lang w:val="fr-CH" w:eastAsia="fr-FR"/>
        </w:rPr>
        <w:t>applications mobiles</w:t>
      </w:r>
      <w:r w:rsidRPr="00CE263E">
        <w:rPr>
          <w:rFonts w:ascii="Arial" w:hAnsi="Arial" w:cs="Arial"/>
          <w:lang w:val="fr-CH" w:eastAsia="fr-FR"/>
        </w:rPr>
        <w:t xml:space="preserve"> qui sont conformes aux </w:t>
      </w:r>
      <w:r w:rsidRPr="004905DC">
        <w:rPr>
          <w:rFonts w:ascii="Arial" w:hAnsi="Arial" w:cs="Arial"/>
          <w:u w:val="single"/>
          <w:lang w:val="fr-CH" w:eastAsia="fr-FR"/>
        </w:rPr>
        <w:t>normes européennes harmonisées pertinentes en la matière</w:t>
      </w:r>
      <w:r w:rsidRPr="00CE263E">
        <w:rPr>
          <w:rFonts w:ascii="Arial" w:hAnsi="Arial" w:cs="Arial"/>
          <w:lang w:val="fr-CH" w:eastAsia="fr-FR"/>
        </w:rPr>
        <w:t>.</w:t>
      </w:r>
    </w:p>
    <w:p w:rsidR="005D418E" w:rsidRDefault="005D418E" w:rsidP="005D418E">
      <w:pPr>
        <w:jc w:val="both"/>
        <w:rPr>
          <w:rFonts w:ascii="Arial" w:hAnsi="Arial" w:cs="Arial"/>
          <w:lang w:val="fr-CH" w:eastAsia="fr-FR"/>
        </w:rPr>
      </w:pPr>
      <w:r w:rsidRPr="00CE263E">
        <w:rPr>
          <w:rFonts w:ascii="Arial" w:hAnsi="Arial" w:cs="Arial"/>
          <w:lang w:val="fr-CH" w:eastAsia="fr-FR"/>
        </w:rPr>
        <w:t xml:space="preserve">À défaut de publication de telles normes, la </w:t>
      </w:r>
      <w:r w:rsidRPr="005D418E">
        <w:rPr>
          <w:rFonts w:ascii="Arial" w:hAnsi="Arial" w:cs="Arial"/>
          <w:b/>
          <w:color w:val="0070C0"/>
          <w:lang w:val="fr-CH" w:eastAsia="fr-FR"/>
        </w:rPr>
        <w:t>norme EN 301 549 V1.1.2 de 2015</w:t>
      </w:r>
      <w:r w:rsidRPr="00CE263E">
        <w:rPr>
          <w:rFonts w:ascii="Arial" w:hAnsi="Arial" w:cs="Arial"/>
          <w:lang w:val="fr-CH" w:eastAsia="fr-FR"/>
        </w:rPr>
        <w:t xml:space="preserve">, respectivement la dernière version de cette norme, en l’occurrence la </w:t>
      </w:r>
      <w:r w:rsidRPr="004905DC">
        <w:rPr>
          <w:rFonts w:ascii="Arial" w:hAnsi="Arial" w:cs="Arial"/>
          <w:b/>
          <w:color w:val="0070C0"/>
          <w:lang w:val="fr-CH" w:eastAsia="fr-FR"/>
        </w:rPr>
        <w:t>version V2.1.2 de 2018</w:t>
      </w:r>
      <w:r w:rsidRPr="00CE263E">
        <w:rPr>
          <w:rFonts w:ascii="Arial" w:hAnsi="Arial" w:cs="Arial"/>
          <w:lang w:val="fr-CH" w:eastAsia="fr-FR"/>
        </w:rPr>
        <w:t xml:space="preserve">, est à considérer comme </w:t>
      </w:r>
      <w:r w:rsidRPr="004905DC">
        <w:rPr>
          <w:rFonts w:ascii="Arial" w:hAnsi="Arial" w:cs="Arial"/>
          <w:b/>
          <w:color w:val="0070C0"/>
          <w:lang w:val="fr-CH" w:eastAsia="fr-FR"/>
        </w:rPr>
        <w:t>norme de référence</w:t>
      </w:r>
      <w:r w:rsidRPr="00CE263E">
        <w:rPr>
          <w:rFonts w:ascii="Arial" w:hAnsi="Arial" w:cs="Arial"/>
          <w:lang w:val="fr-CH" w:eastAsia="fr-FR"/>
        </w:rPr>
        <w:t>.</w:t>
      </w:r>
    </w:p>
    <w:p w:rsidR="004905DC" w:rsidRDefault="005D418E" w:rsidP="004905DC">
      <w:pPr>
        <w:autoSpaceDE w:val="0"/>
        <w:autoSpaceDN w:val="0"/>
        <w:adjustRightInd w:val="0"/>
        <w:spacing w:after="40" w:line="201" w:lineRule="atLeast"/>
        <w:jc w:val="both"/>
        <w:rPr>
          <w:rFonts w:ascii="Arial" w:hAnsi="Arial" w:cs="Arial"/>
          <w:color w:val="000000"/>
          <w:lang w:eastAsia="fr-LU"/>
        </w:rPr>
      </w:pPr>
      <w:r w:rsidRPr="004B0645">
        <w:rPr>
          <w:rFonts w:ascii="Arial" w:hAnsi="Arial" w:cs="Arial"/>
          <w:lang w:val="fr-CH" w:eastAsia="fr-FR"/>
        </w:rPr>
        <w:t xml:space="preserve">Celle-ci exige de manière générale que les informations contenues sur un </w:t>
      </w:r>
      <w:r w:rsidRPr="004905DC">
        <w:rPr>
          <w:rFonts w:ascii="Arial" w:hAnsi="Arial" w:cs="Arial"/>
          <w:u w:val="single"/>
          <w:lang w:val="fr-CH" w:eastAsia="fr-FR"/>
        </w:rPr>
        <w:t>site</w:t>
      </w:r>
      <w:r w:rsidRPr="004B0645">
        <w:rPr>
          <w:rFonts w:ascii="Arial" w:hAnsi="Arial" w:cs="Arial"/>
          <w:lang w:val="fr-CH" w:eastAsia="fr-FR"/>
        </w:rPr>
        <w:t xml:space="preserve"> ou une </w:t>
      </w:r>
      <w:r w:rsidRPr="004905DC">
        <w:rPr>
          <w:rFonts w:ascii="Arial" w:hAnsi="Arial" w:cs="Arial"/>
          <w:u w:val="single"/>
          <w:lang w:val="fr-CH" w:eastAsia="fr-FR"/>
        </w:rPr>
        <w:t>application</w:t>
      </w:r>
      <w:r w:rsidRPr="004B0645">
        <w:rPr>
          <w:rFonts w:ascii="Arial" w:hAnsi="Arial" w:cs="Arial"/>
          <w:lang w:val="fr-CH" w:eastAsia="fr-FR"/>
        </w:rPr>
        <w:t xml:space="preserve"> soient accessibles à toute personne, indépendamment</w:t>
      </w:r>
    </w:p>
    <w:p w:rsidR="004905DC" w:rsidRDefault="004905DC" w:rsidP="004905DC">
      <w:pPr>
        <w:autoSpaceDE w:val="0"/>
        <w:autoSpaceDN w:val="0"/>
        <w:adjustRightInd w:val="0"/>
        <w:spacing w:after="40" w:line="201" w:lineRule="atLeast"/>
        <w:ind w:left="1080" w:hanging="513"/>
        <w:jc w:val="both"/>
        <w:rPr>
          <w:rFonts w:ascii="Arial" w:hAnsi="Arial" w:cs="Arial"/>
          <w:color w:val="000000"/>
          <w:lang w:eastAsia="fr-LU"/>
        </w:rPr>
      </w:pPr>
      <w:r>
        <w:rPr>
          <w:rFonts w:ascii="Arial" w:hAnsi="Arial" w:cs="Arial"/>
          <w:color w:val="000000"/>
          <w:lang w:eastAsia="fr-LU"/>
        </w:rPr>
        <w:t xml:space="preserve">- </w:t>
      </w:r>
      <w:r w:rsidRPr="004B0645">
        <w:rPr>
          <w:rFonts w:ascii="Arial" w:hAnsi="Arial" w:cs="Arial"/>
          <w:lang w:val="fr-CH" w:eastAsia="fr-FR"/>
        </w:rPr>
        <w:t>de ses facultés physiques, cognitives ou sensorielles,</w:t>
      </w:r>
      <w:r>
        <w:rPr>
          <w:rFonts w:ascii="Arial" w:hAnsi="Arial" w:cs="Arial"/>
          <w:lang w:val="fr-CH" w:eastAsia="fr-FR"/>
        </w:rPr>
        <w:t xml:space="preserve"> et</w:t>
      </w:r>
    </w:p>
    <w:p w:rsidR="004905DC" w:rsidRDefault="004905DC" w:rsidP="004905DC">
      <w:pPr>
        <w:autoSpaceDE w:val="0"/>
        <w:autoSpaceDN w:val="0"/>
        <w:adjustRightInd w:val="0"/>
        <w:spacing w:after="40" w:line="201" w:lineRule="atLeast"/>
        <w:ind w:left="1080" w:hanging="513"/>
        <w:jc w:val="both"/>
        <w:rPr>
          <w:rFonts w:ascii="Arial" w:hAnsi="Arial" w:cs="Arial"/>
          <w:lang w:val="fr-CH" w:eastAsia="fr-FR"/>
        </w:rPr>
      </w:pPr>
      <w:r>
        <w:rPr>
          <w:rFonts w:ascii="Arial" w:hAnsi="Arial" w:cs="Arial"/>
          <w:color w:val="000000"/>
          <w:lang w:eastAsia="fr-LU"/>
        </w:rPr>
        <w:t xml:space="preserve">- </w:t>
      </w:r>
      <w:r w:rsidR="005D418E" w:rsidRPr="004B0645">
        <w:rPr>
          <w:rFonts w:ascii="Arial" w:hAnsi="Arial" w:cs="Arial"/>
          <w:lang w:val="fr-CH" w:eastAsia="fr-FR"/>
        </w:rPr>
        <w:t>du caractère temporaire, permanent ou situationnel de son handicap.</w:t>
      </w:r>
    </w:p>
    <w:p w:rsidR="004905DC" w:rsidRPr="004905DC" w:rsidRDefault="004905DC" w:rsidP="004905DC">
      <w:pPr>
        <w:autoSpaceDE w:val="0"/>
        <w:autoSpaceDN w:val="0"/>
        <w:adjustRightInd w:val="0"/>
        <w:spacing w:after="40" w:line="201" w:lineRule="atLeast"/>
        <w:ind w:left="1080" w:hanging="1080"/>
        <w:jc w:val="both"/>
        <w:rPr>
          <w:rFonts w:ascii="Arial" w:hAnsi="Arial" w:cs="Arial"/>
          <w:color w:val="000000"/>
          <w:lang w:eastAsia="fr-LU"/>
        </w:rPr>
      </w:pPr>
    </w:p>
    <w:p w:rsidR="005D418E" w:rsidRPr="004B0645" w:rsidRDefault="005D418E" w:rsidP="005D418E">
      <w:pPr>
        <w:jc w:val="both"/>
        <w:rPr>
          <w:rFonts w:ascii="Arial" w:hAnsi="Arial" w:cs="Arial"/>
          <w:lang w:val="fr-CH" w:eastAsia="fr-FR"/>
        </w:rPr>
      </w:pPr>
      <w:r w:rsidRPr="004B0645">
        <w:rPr>
          <w:rFonts w:ascii="Arial" w:hAnsi="Arial" w:cs="Arial"/>
          <w:lang w:val="fr-CH" w:eastAsia="fr-FR"/>
        </w:rPr>
        <w:t>À titre d’exemple, les contenus représentés de manière visuelle devront par conséquent être accessibles pour les personnes avec des capacités de vue limitées, en mettant à disposition d’autres moyens, comme par exemple la possibilité d’écouter le contenu.</w:t>
      </w:r>
    </w:p>
    <w:p w:rsidR="005D418E" w:rsidRDefault="004905DC" w:rsidP="005D418E">
      <w:pPr>
        <w:jc w:val="both"/>
        <w:rPr>
          <w:rFonts w:ascii="Arial" w:hAnsi="Arial" w:cs="Arial"/>
          <w:lang w:val="fr-CH" w:eastAsia="fr-FR"/>
        </w:rPr>
      </w:pPr>
      <w:r>
        <w:rPr>
          <w:rFonts w:ascii="Arial" w:hAnsi="Arial" w:cs="Arial"/>
          <w:lang w:val="fr-CH" w:eastAsia="fr-FR"/>
        </w:rPr>
        <w:t xml:space="preserve">La </w:t>
      </w:r>
      <w:proofErr w:type="spellStart"/>
      <w:r w:rsidRPr="00CE263E">
        <w:rPr>
          <w:rFonts w:ascii="Arial" w:hAnsi="Arial" w:cs="Arial"/>
          <w:lang w:val="fr-CH"/>
        </w:rPr>
        <w:t>l</w:t>
      </w:r>
      <w:r w:rsidRPr="005D418E">
        <w:rPr>
          <w:rFonts w:ascii="Arial" w:hAnsi="Arial" w:cs="Arial"/>
          <w:b/>
          <w:color w:val="FF0000"/>
          <w:lang w:val="fr-CH"/>
        </w:rPr>
        <w:t>directive</w:t>
      </w:r>
      <w:proofErr w:type="spellEnd"/>
      <w:r w:rsidRPr="005D418E">
        <w:rPr>
          <w:rFonts w:ascii="Arial" w:hAnsi="Arial" w:cs="Arial"/>
          <w:lang w:val="fr-CH"/>
        </w:rPr>
        <w:t xml:space="preserve"> </w:t>
      </w:r>
      <w:r w:rsidRPr="005D418E">
        <w:rPr>
          <w:rFonts w:ascii="Arial" w:hAnsi="Arial" w:cs="Arial"/>
          <w:b/>
          <w:color w:val="FF0000"/>
          <w:u w:val="single"/>
          <w:lang w:val="fr-CH"/>
        </w:rPr>
        <w:t>(UE) 2016/2102</w:t>
      </w:r>
      <w:r w:rsidRPr="005D418E">
        <w:rPr>
          <w:rFonts w:ascii="Arial" w:hAnsi="Arial" w:cs="Arial"/>
          <w:lang w:val="fr-CH"/>
        </w:rPr>
        <w:t xml:space="preserve"> </w:t>
      </w:r>
      <w:r w:rsidR="005D418E" w:rsidRPr="004B0645">
        <w:rPr>
          <w:rFonts w:ascii="Arial" w:hAnsi="Arial" w:cs="Arial"/>
          <w:lang w:val="fr-CH" w:eastAsia="fr-FR"/>
        </w:rPr>
        <w:t>harmonise les exigences des différents États membres afin de minimiser la fragmentation du marché intérieur européen et de renforcer l’interopérabilité européenne. Ceci contribue notamment à la réduction des incertitudes pour les développeurs et fournisseurs des sites Internet et leur facilite l’offre de leurs services sur l’entièreté du marché européen.</w:t>
      </w:r>
    </w:p>
    <w:sectPr w:rsidR="005D4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61A"/>
    <w:rsid w:val="000323D1"/>
    <w:rsid w:val="004905DC"/>
    <w:rsid w:val="004D1C13"/>
    <w:rsid w:val="004F7B0C"/>
    <w:rsid w:val="005D418E"/>
    <w:rsid w:val="00AC161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5DA5B3D-55B2-4E18-B297-84F58A56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DP7351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7351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/sftpecos/Dossiers_parlementaires/7351/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3A06E07-8B00-44BE-BBDF-9B0D6A18E211}"/>
</file>

<file path=customXml/itemProps2.xml><?xml version="1.0" encoding="utf-8"?>
<ds:datastoreItem xmlns:ds="http://schemas.openxmlformats.org/officeDocument/2006/customXml" ds:itemID="{5AA56A20-C60F-4AE3-9D31-1DE98350648A}"/>
</file>

<file path=customXml/itemProps3.xml><?xml version="1.0" encoding="utf-8"?>
<ds:datastoreItem xmlns:ds="http://schemas.openxmlformats.org/officeDocument/2006/customXml" ds:itemID="{4B9AB012-3048-4D4B-8329-0CF837F94E58}"/>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2245</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