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2C" w:rsidRPr="00D4002C" w:rsidRDefault="00D4002C" w:rsidP="00D4002C">
      <w:pPr>
        <w:spacing w:line="240" w:lineRule="auto"/>
        <w:jc w:val="center"/>
        <w:rPr>
          <w:rFonts w:ascii="Arial" w:hAnsi="Arial" w:cs="Arial"/>
          <w:b/>
          <w:lang w:eastAsia="fr-LU"/>
        </w:rPr>
      </w:pPr>
      <w:bookmarkStart w:id="0" w:name="_GoBack"/>
      <w:bookmarkEnd w:id="0"/>
      <w:r w:rsidRPr="00D4002C">
        <w:rPr>
          <w:rFonts w:ascii="Arial" w:hAnsi="Arial" w:cs="Arial"/>
          <w:b/>
          <w:lang w:eastAsia="fr-LU"/>
        </w:rPr>
        <w:t>7330</w:t>
      </w:r>
    </w:p>
    <w:p w:rsidR="00D4002C" w:rsidRPr="00D4002C" w:rsidRDefault="00D4002C" w:rsidP="00D4002C">
      <w:pPr>
        <w:spacing w:line="240" w:lineRule="auto"/>
        <w:jc w:val="center"/>
        <w:rPr>
          <w:rFonts w:ascii="Arial" w:hAnsi="Arial" w:cs="Arial"/>
          <w:b/>
          <w:lang w:eastAsia="fr-LU"/>
        </w:rPr>
      </w:pPr>
    </w:p>
    <w:p w:rsidR="00D4002C" w:rsidRPr="00D4002C" w:rsidRDefault="00D4002C" w:rsidP="00D4002C">
      <w:pPr>
        <w:spacing w:line="240" w:lineRule="auto"/>
        <w:jc w:val="center"/>
        <w:rPr>
          <w:rFonts w:ascii="Arial" w:hAnsi="Arial" w:cs="Arial"/>
          <w:b/>
          <w:lang w:eastAsia="fr-LU"/>
        </w:rPr>
      </w:pPr>
      <w:r w:rsidRPr="00D4002C">
        <w:rPr>
          <w:rFonts w:ascii="Arial" w:hAnsi="Arial" w:cs="Arial"/>
          <w:b/>
          <w:lang w:eastAsia="fr-LU"/>
        </w:rPr>
        <w:t>Compte général 2017</w:t>
      </w:r>
    </w:p>
    <w:p w:rsidR="00D4002C" w:rsidRPr="00D4002C" w:rsidRDefault="00D4002C" w:rsidP="00D4002C">
      <w:pPr>
        <w:spacing w:line="240" w:lineRule="auto"/>
        <w:jc w:val="both"/>
        <w:rPr>
          <w:rFonts w:ascii="Arial" w:hAnsi="Arial" w:cs="Arial"/>
          <w:lang w:eastAsia="fr-LU"/>
        </w:rPr>
      </w:pPr>
    </w:p>
    <w:p w:rsidR="0083188E" w:rsidRPr="00D4002C" w:rsidRDefault="0083188E" w:rsidP="00D4002C">
      <w:pPr>
        <w:spacing w:line="240" w:lineRule="auto"/>
        <w:jc w:val="both"/>
        <w:rPr>
          <w:rFonts w:ascii="Arial" w:hAnsi="Arial" w:cs="Arial"/>
          <w:lang w:eastAsia="fr-LU"/>
        </w:rPr>
      </w:pPr>
      <w:r w:rsidRPr="00D4002C">
        <w:rPr>
          <w:rFonts w:ascii="Arial" w:hAnsi="Arial" w:cs="Arial"/>
          <w:lang w:eastAsia="fr-LU"/>
        </w:rPr>
        <w:t xml:space="preserve">L’exécution du budget de l’exercice 2017 s’est donc faite dans un </w:t>
      </w:r>
      <w:r w:rsidRPr="00D4002C">
        <w:rPr>
          <w:rFonts w:ascii="Arial" w:hAnsi="Arial" w:cs="Arial"/>
          <w:u w:val="single"/>
          <w:lang w:eastAsia="fr-LU"/>
        </w:rPr>
        <w:t>environnement macro-économique moins favorable que prévu</w:t>
      </w:r>
      <w:r w:rsidRPr="00D4002C">
        <w:rPr>
          <w:rFonts w:ascii="Arial" w:hAnsi="Arial" w:cs="Arial"/>
          <w:lang w:eastAsia="fr-LU"/>
        </w:rPr>
        <w:t>.</w:t>
      </w:r>
    </w:p>
    <w:p w:rsidR="0083188E" w:rsidRPr="00D4002C" w:rsidRDefault="0083188E" w:rsidP="00D4002C">
      <w:pPr>
        <w:autoSpaceDE w:val="0"/>
        <w:autoSpaceDN w:val="0"/>
        <w:adjustRightInd w:val="0"/>
        <w:spacing w:line="240" w:lineRule="auto"/>
        <w:jc w:val="both"/>
        <w:rPr>
          <w:rFonts w:ascii="Arial" w:hAnsi="Arial" w:cs="Arial"/>
          <w:lang w:eastAsia="fr-LU"/>
        </w:rPr>
      </w:pPr>
    </w:p>
    <w:p w:rsidR="0083188E" w:rsidRPr="00D4002C" w:rsidRDefault="0083188E" w:rsidP="00D4002C">
      <w:pPr>
        <w:spacing w:line="240" w:lineRule="auto"/>
        <w:ind w:left="70"/>
        <w:jc w:val="center"/>
        <w:rPr>
          <w:rFonts w:ascii="Arial" w:hAnsi="Arial" w:cs="Arial"/>
          <w:bCs/>
          <w:u w:val="single"/>
          <w:lang w:eastAsia="fr-LU"/>
        </w:rPr>
      </w:pPr>
      <w:bookmarkStart w:id="1" w:name="_Toc495916943"/>
      <w:r w:rsidRPr="00D4002C">
        <w:rPr>
          <w:rFonts w:ascii="Arial" w:hAnsi="Arial" w:cs="Arial"/>
          <w:bCs/>
          <w:u w:val="single"/>
          <w:lang w:eastAsia="fr-LU"/>
        </w:rPr>
        <w:t>Le compte général de l’Etat de l’exercice 2017 suivant la législation nationale</w:t>
      </w:r>
      <w:bookmarkEnd w:id="1"/>
    </w:p>
    <w:p w:rsidR="0083188E" w:rsidRPr="00D4002C" w:rsidRDefault="0083188E" w:rsidP="00D4002C">
      <w:pPr>
        <w:spacing w:line="240" w:lineRule="auto"/>
        <w:ind w:left="70"/>
        <w:jc w:val="both"/>
        <w:rPr>
          <w:rFonts w:ascii="Arial" w:hAnsi="Arial" w:cs="Arial"/>
          <w:lang w:eastAsia="fr-LU"/>
        </w:rPr>
      </w:pPr>
    </w:p>
    <w:p w:rsidR="0083188E" w:rsidRPr="00D4002C" w:rsidRDefault="0083188E" w:rsidP="00D4002C">
      <w:pPr>
        <w:autoSpaceDE w:val="0"/>
        <w:autoSpaceDN w:val="0"/>
        <w:adjustRightInd w:val="0"/>
        <w:spacing w:line="240" w:lineRule="auto"/>
        <w:jc w:val="center"/>
        <w:rPr>
          <w:rFonts w:ascii="Arial" w:hAnsi="Arial" w:cs="Arial"/>
          <w:color w:val="000000"/>
          <w:lang w:eastAsia="fr-LU"/>
        </w:rPr>
      </w:pPr>
      <w:r w:rsidRPr="00D4002C">
        <w:rPr>
          <w:rFonts w:ascii="Arial" w:hAnsi="Arial" w:cs="Arial"/>
          <w:color w:val="000000"/>
          <w:lang w:eastAsia="fr-LU"/>
        </w:rPr>
        <w:t>Balance du compte général de l’Etat de l’exercice 2017</w:t>
      </w:r>
    </w:p>
    <w:p w:rsidR="0083188E" w:rsidRPr="00D4002C" w:rsidRDefault="00D4002C" w:rsidP="00D4002C">
      <w:pPr>
        <w:spacing w:line="240" w:lineRule="auto"/>
        <w:jc w:val="both"/>
        <w:rPr>
          <w:rFonts w:ascii="Arial" w:hAnsi="Arial" w:cs="Arial"/>
        </w:rPr>
      </w:pPr>
      <w:r w:rsidRPr="00D4002C">
        <w:rPr>
          <w:rFonts w:ascii="Arial" w:hAnsi="Arial" w:cs="Arial"/>
        </w:rPr>
        <w:t>L</w:t>
      </w:r>
      <w:r w:rsidR="0083188E" w:rsidRPr="00D4002C">
        <w:rPr>
          <w:rFonts w:ascii="Arial" w:hAnsi="Arial" w:cs="Arial"/>
        </w:rPr>
        <w:t xml:space="preserve">e compte général </w:t>
      </w:r>
      <w:r w:rsidRPr="00D4002C">
        <w:rPr>
          <w:rFonts w:ascii="Arial" w:hAnsi="Arial" w:cs="Arial"/>
        </w:rPr>
        <w:t>et</w:t>
      </w:r>
      <w:r w:rsidR="0083188E" w:rsidRPr="00D4002C">
        <w:rPr>
          <w:rFonts w:ascii="Arial" w:hAnsi="Arial" w:cs="Arial"/>
        </w:rPr>
        <w:t xml:space="preserve"> le budget pour ordre de l’exercice 2017 affichent un résultat positif.</w:t>
      </w:r>
    </w:p>
    <w:p w:rsidR="0083188E" w:rsidRPr="00D4002C" w:rsidRDefault="0083188E" w:rsidP="00D4002C">
      <w:pPr>
        <w:spacing w:line="240" w:lineRule="auto"/>
        <w:rPr>
          <w:rFonts w:ascii="Arial" w:hAnsi="Arial" w:cs="Arial"/>
        </w:rPr>
      </w:pPr>
    </w:p>
    <w:tbl>
      <w:tblPr>
        <w:tblW w:w="7980" w:type="dxa"/>
        <w:tblInd w:w="1304" w:type="dxa"/>
        <w:tblLayout w:type="fixed"/>
        <w:tblCellMar>
          <w:left w:w="0" w:type="dxa"/>
          <w:right w:w="0" w:type="dxa"/>
        </w:tblCellMar>
        <w:tblLook w:val="04A0" w:firstRow="1" w:lastRow="0" w:firstColumn="1" w:lastColumn="0" w:noHBand="0" w:noVBand="1"/>
      </w:tblPr>
      <w:tblGrid>
        <w:gridCol w:w="548"/>
        <w:gridCol w:w="5624"/>
        <w:gridCol w:w="1808"/>
      </w:tblGrid>
      <w:tr w:rsidR="0083188E" w:rsidRPr="00D4002C" w:rsidTr="0083188E">
        <w:trPr>
          <w:cantSplit/>
          <w:trHeight w:val="318"/>
        </w:trPr>
        <w:tc>
          <w:tcPr>
            <w:tcW w:w="7984" w:type="dxa"/>
            <w:gridSpan w:val="3"/>
            <w:tcMar>
              <w:top w:w="0" w:type="dxa"/>
              <w:left w:w="108" w:type="dxa"/>
              <w:bottom w:w="0" w:type="dxa"/>
              <w:right w:w="108" w:type="dxa"/>
            </w:tcMar>
            <w:vAlign w:val="center"/>
            <w:hideMark/>
          </w:tcPr>
          <w:p w:rsidR="0083188E" w:rsidRPr="00D4002C" w:rsidRDefault="0083188E" w:rsidP="00D4002C">
            <w:pPr>
              <w:keepNext/>
              <w:spacing w:line="240" w:lineRule="auto"/>
              <w:rPr>
                <w:rFonts w:ascii="Arial" w:hAnsi="Arial" w:cs="Arial"/>
                <w:sz w:val="18"/>
                <w:szCs w:val="18"/>
              </w:rPr>
            </w:pPr>
            <w:r w:rsidRPr="00D4002C">
              <w:rPr>
                <w:rFonts w:ascii="Arial" w:hAnsi="Arial" w:cs="Arial"/>
                <w:b/>
                <w:bCs/>
                <w:sz w:val="18"/>
                <w:szCs w:val="18"/>
              </w:rPr>
              <w:t>A. Recettes et dépenses courantes et en capital</w:t>
            </w:r>
          </w:p>
        </w:tc>
      </w:tr>
      <w:tr w:rsidR="0083188E" w:rsidRPr="00D4002C" w:rsidTr="0083188E">
        <w:trPr>
          <w:cantSplit/>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tcPr>
          <w:p w:rsidR="0083188E" w:rsidRPr="00D4002C" w:rsidRDefault="0083188E" w:rsidP="00D4002C">
            <w:pPr>
              <w:spacing w:line="240" w:lineRule="auto"/>
              <w:rPr>
                <w:rFonts w:ascii="Arial" w:hAnsi="Arial" w:cs="Arial"/>
                <w:sz w:val="18"/>
                <w:szCs w:val="18"/>
              </w:rPr>
            </w:pP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Report du solde des recettes et dépenses courantes et en capital de l’année précédente</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88"/>
              </w:tabs>
              <w:spacing w:line="240" w:lineRule="auto"/>
              <w:rPr>
                <w:rFonts w:ascii="Arial" w:hAnsi="Arial" w:cs="Arial"/>
                <w:sz w:val="18"/>
                <w:szCs w:val="18"/>
              </w:rPr>
            </w:pPr>
            <w:r w:rsidRPr="00D4002C">
              <w:rPr>
                <w:rFonts w:ascii="Arial" w:hAnsi="Arial" w:cs="Arial"/>
                <w:sz w:val="18"/>
                <w:szCs w:val="18"/>
              </w:rPr>
              <w:t>-2.425.896.209,48</w:t>
            </w:r>
          </w:p>
        </w:tc>
      </w:tr>
      <w:tr w:rsidR="0083188E" w:rsidRPr="00D4002C" w:rsidTr="0083188E">
        <w:trPr>
          <w:cantSplit/>
        </w:trPr>
        <w:tc>
          <w:tcPr>
            <w:tcW w:w="54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w:t>
            </w:r>
          </w:p>
        </w:tc>
        <w:tc>
          <w:tcPr>
            <w:tcW w:w="56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 xml:space="preserve">Recettes </w:t>
            </w:r>
          </w:p>
        </w:tc>
        <w:tc>
          <w:tcPr>
            <w:tcW w:w="1809" w:type="dxa"/>
            <w:tcBorders>
              <w:top w:val="nil"/>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88"/>
              </w:tabs>
              <w:spacing w:line="240" w:lineRule="auto"/>
              <w:rPr>
                <w:rFonts w:ascii="Arial" w:hAnsi="Arial" w:cs="Arial"/>
                <w:sz w:val="18"/>
                <w:szCs w:val="18"/>
              </w:rPr>
            </w:pPr>
            <w:r w:rsidRPr="00D4002C">
              <w:rPr>
                <w:rFonts w:ascii="Arial" w:hAnsi="Arial" w:cs="Arial"/>
                <w:sz w:val="18"/>
                <w:szCs w:val="18"/>
              </w:rPr>
              <w:t>15.627.749.173,90</w:t>
            </w:r>
          </w:p>
        </w:tc>
      </w:tr>
      <w:tr w:rsidR="0083188E" w:rsidRPr="00D4002C" w:rsidTr="0083188E">
        <w:trPr>
          <w:cantSplit/>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 xml:space="preserve">Dépenses </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88"/>
              </w:tabs>
              <w:spacing w:line="240" w:lineRule="auto"/>
              <w:rPr>
                <w:rFonts w:ascii="Arial" w:hAnsi="Arial" w:cs="Arial"/>
                <w:sz w:val="18"/>
                <w:szCs w:val="18"/>
              </w:rPr>
            </w:pPr>
            <w:r w:rsidRPr="00D4002C">
              <w:rPr>
                <w:rFonts w:ascii="Arial" w:hAnsi="Arial" w:cs="Arial"/>
                <w:sz w:val="18"/>
                <w:szCs w:val="18"/>
              </w:rPr>
              <w:t>14.274.923.393,91</w:t>
            </w:r>
          </w:p>
        </w:tc>
      </w:tr>
      <w:tr w:rsidR="0083188E" w:rsidRPr="00D4002C" w:rsidTr="0083188E">
        <w:trPr>
          <w:cantSplit/>
        </w:trPr>
        <w:tc>
          <w:tcPr>
            <w:tcW w:w="54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III.</w:t>
            </w:r>
          </w:p>
        </w:tc>
        <w:tc>
          <w:tcPr>
            <w:tcW w:w="5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Excédent de recettes</w:t>
            </w:r>
          </w:p>
        </w:tc>
        <w:tc>
          <w:tcPr>
            <w:tcW w:w="1809"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88"/>
              </w:tabs>
              <w:spacing w:line="240" w:lineRule="auto"/>
              <w:rPr>
                <w:rFonts w:ascii="Arial" w:hAnsi="Arial" w:cs="Arial"/>
                <w:sz w:val="18"/>
                <w:szCs w:val="18"/>
              </w:rPr>
            </w:pPr>
            <w:r w:rsidRPr="00D4002C">
              <w:rPr>
                <w:rFonts w:ascii="Arial" w:hAnsi="Arial" w:cs="Arial"/>
                <w:sz w:val="18"/>
                <w:szCs w:val="18"/>
              </w:rPr>
              <w:t>1.352.825.779,99</w:t>
            </w:r>
          </w:p>
        </w:tc>
      </w:tr>
      <w:tr w:rsidR="0083188E" w:rsidRPr="00D4002C" w:rsidTr="0083188E">
        <w:trPr>
          <w:cantSplit/>
        </w:trPr>
        <w:tc>
          <w:tcPr>
            <w:tcW w:w="548" w:type="dxa"/>
            <w:tcBorders>
              <w:top w:val="single" w:sz="4" w:space="0" w:color="auto"/>
              <w:left w:val="nil"/>
              <w:bottom w:val="nil"/>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IV.</w:t>
            </w:r>
          </w:p>
        </w:tc>
        <w:tc>
          <w:tcPr>
            <w:tcW w:w="562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 xml:space="preserve">Report du solde des recettes et dépenses courantes et en capital </w:t>
            </w:r>
          </w:p>
        </w:tc>
        <w:tc>
          <w:tcPr>
            <w:tcW w:w="1809" w:type="dxa"/>
            <w:tcBorders>
              <w:top w:val="single" w:sz="4" w:space="0" w:color="auto"/>
              <w:left w:val="single" w:sz="4" w:space="0" w:color="auto"/>
              <w:bottom w:val="nil"/>
              <w:right w:val="nil"/>
            </w:tcBorders>
            <w:tcMar>
              <w:top w:w="0" w:type="dxa"/>
              <w:left w:w="108" w:type="dxa"/>
              <w:bottom w:w="0" w:type="dxa"/>
              <w:right w:w="108" w:type="dxa"/>
            </w:tcMar>
            <w:vAlign w:val="center"/>
            <w:hideMark/>
          </w:tcPr>
          <w:p w:rsidR="0083188E" w:rsidRPr="00D4002C" w:rsidRDefault="0083188E" w:rsidP="00D4002C">
            <w:pPr>
              <w:tabs>
                <w:tab w:val="decimal" w:pos="1388"/>
              </w:tabs>
              <w:spacing w:line="240" w:lineRule="auto"/>
              <w:rPr>
                <w:rFonts w:ascii="Arial" w:hAnsi="Arial" w:cs="Arial"/>
                <w:sz w:val="18"/>
                <w:szCs w:val="18"/>
              </w:rPr>
            </w:pPr>
            <w:r w:rsidRPr="00D4002C">
              <w:rPr>
                <w:rFonts w:ascii="Arial" w:hAnsi="Arial" w:cs="Arial"/>
                <w:sz w:val="18"/>
                <w:szCs w:val="18"/>
              </w:rPr>
              <w:t>-1.073.070.429,49</w:t>
            </w:r>
          </w:p>
        </w:tc>
      </w:tr>
    </w:tbl>
    <w:p w:rsidR="0083188E" w:rsidRPr="00D4002C" w:rsidRDefault="0083188E" w:rsidP="00D4002C">
      <w:pPr>
        <w:pStyle w:val="1TEXTE"/>
        <w:spacing w:after="0" w:line="240" w:lineRule="auto"/>
        <w:ind w:left="0" w:firstLine="0"/>
        <w:jc w:val="left"/>
        <w:rPr>
          <w:rFonts w:ascii="Arial" w:hAnsi="Arial" w:cs="Arial"/>
          <w:sz w:val="18"/>
          <w:szCs w:val="18"/>
          <w:lang w:val="fr-LU"/>
        </w:rPr>
      </w:pPr>
    </w:p>
    <w:tbl>
      <w:tblPr>
        <w:tblW w:w="7935" w:type="dxa"/>
        <w:tblInd w:w="1304" w:type="dxa"/>
        <w:tblLayout w:type="fixed"/>
        <w:tblCellMar>
          <w:left w:w="0" w:type="dxa"/>
          <w:right w:w="0" w:type="dxa"/>
        </w:tblCellMar>
        <w:tblLook w:val="04A0" w:firstRow="1" w:lastRow="0" w:firstColumn="1" w:lastColumn="0" w:noHBand="0" w:noVBand="1"/>
      </w:tblPr>
      <w:tblGrid>
        <w:gridCol w:w="567"/>
        <w:gridCol w:w="5606"/>
        <w:gridCol w:w="1762"/>
      </w:tblGrid>
      <w:tr w:rsidR="0083188E" w:rsidRPr="00D4002C" w:rsidTr="0083188E">
        <w:trPr>
          <w:cantSplit/>
        </w:trPr>
        <w:tc>
          <w:tcPr>
            <w:tcW w:w="7938" w:type="dxa"/>
            <w:gridSpan w:val="3"/>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lang w:val="fr-FR"/>
              </w:rPr>
            </w:pPr>
            <w:r w:rsidRPr="00D4002C">
              <w:rPr>
                <w:rFonts w:ascii="Arial" w:hAnsi="Arial" w:cs="Arial"/>
                <w:b/>
                <w:bCs/>
                <w:sz w:val="18"/>
                <w:szCs w:val="18"/>
              </w:rPr>
              <w:t>B. Recettes et dépenses pour ordre</w:t>
            </w:r>
          </w:p>
        </w:tc>
      </w:tr>
      <w:tr w:rsidR="0083188E" w:rsidRPr="00D4002C" w:rsidTr="0083188E">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83188E" w:rsidRPr="00D4002C" w:rsidRDefault="0083188E" w:rsidP="00D4002C">
            <w:pPr>
              <w:spacing w:line="240" w:lineRule="auto"/>
              <w:rPr>
                <w:rFonts w:ascii="Arial" w:hAnsi="Arial" w:cs="Arial"/>
                <w:sz w:val="18"/>
                <w:szCs w:val="18"/>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Report du solde des recettes et dépenses pour ordre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93"/>
              </w:tabs>
              <w:spacing w:line="240" w:lineRule="auto"/>
              <w:rPr>
                <w:rFonts w:ascii="Arial" w:hAnsi="Arial" w:cs="Arial"/>
                <w:sz w:val="18"/>
                <w:szCs w:val="18"/>
              </w:rPr>
            </w:pPr>
            <w:r w:rsidRPr="00D4002C">
              <w:rPr>
                <w:rFonts w:ascii="Arial" w:hAnsi="Arial" w:cs="Arial"/>
                <w:sz w:val="18"/>
                <w:szCs w:val="18"/>
              </w:rPr>
              <w:t>12.382.326,24</w:t>
            </w:r>
          </w:p>
        </w:tc>
      </w:tr>
      <w:tr w:rsidR="0083188E" w:rsidRPr="00D4002C" w:rsidTr="0083188E">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Recettes pour ordre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93"/>
              </w:tabs>
              <w:spacing w:line="240" w:lineRule="auto"/>
              <w:rPr>
                <w:rFonts w:ascii="Arial" w:hAnsi="Arial" w:cs="Arial"/>
                <w:sz w:val="18"/>
                <w:szCs w:val="18"/>
              </w:rPr>
            </w:pPr>
            <w:r w:rsidRPr="00D4002C">
              <w:rPr>
                <w:rFonts w:ascii="Arial" w:hAnsi="Arial" w:cs="Arial"/>
                <w:sz w:val="18"/>
                <w:szCs w:val="18"/>
              </w:rPr>
              <w:t>6.042.855.202,17</w:t>
            </w:r>
          </w:p>
        </w:tc>
      </w:tr>
      <w:tr w:rsidR="0083188E" w:rsidRPr="00D4002C" w:rsidTr="0083188E">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Dépenses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93"/>
              </w:tabs>
              <w:spacing w:line="240" w:lineRule="auto"/>
              <w:rPr>
                <w:rFonts w:ascii="Arial" w:hAnsi="Arial" w:cs="Arial"/>
                <w:sz w:val="18"/>
                <w:szCs w:val="18"/>
              </w:rPr>
            </w:pPr>
            <w:r w:rsidRPr="00D4002C">
              <w:rPr>
                <w:rFonts w:ascii="Arial" w:hAnsi="Arial" w:cs="Arial"/>
                <w:sz w:val="18"/>
                <w:szCs w:val="18"/>
              </w:rPr>
              <w:t>6.038.314.516,92</w:t>
            </w:r>
          </w:p>
        </w:tc>
      </w:tr>
      <w:tr w:rsidR="0083188E" w:rsidRPr="00D4002C" w:rsidTr="0083188E">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Excédent de recettes pour ordre</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tabs>
                <w:tab w:val="decimal" w:pos="1393"/>
              </w:tabs>
              <w:spacing w:line="240" w:lineRule="auto"/>
              <w:rPr>
                <w:rFonts w:ascii="Arial" w:hAnsi="Arial" w:cs="Arial"/>
                <w:sz w:val="18"/>
                <w:szCs w:val="18"/>
              </w:rPr>
            </w:pPr>
            <w:r w:rsidRPr="00D4002C">
              <w:rPr>
                <w:rFonts w:ascii="Arial" w:hAnsi="Arial" w:cs="Arial"/>
                <w:sz w:val="18"/>
                <w:szCs w:val="18"/>
              </w:rPr>
              <w:t>4.540.685,25</w:t>
            </w:r>
          </w:p>
        </w:tc>
      </w:tr>
      <w:tr w:rsidR="0083188E" w:rsidRPr="00D4002C" w:rsidTr="0083188E">
        <w:trPr>
          <w:cantSplit/>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Report du solde des recettes et dépenses pour ordre</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center"/>
            <w:hideMark/>
          </w:tcPr>
          <w:p w:rsidR="0083188E" w:rsidRPr="00D4002C" w:rsidRDefault="0083188E" w:rsidP="00D4002C">
            <w:pPr>
              <w:tabs>
                <w:tab w:val="decimal" w:pos="1393"/>
              </w:tabs>
              <w:spacing w:line="240" w:lineRule="auto"/>
              <w:rPr>
                <w:rFonts w:ascii="Arial" w:hAnsi="Arial" w:cs="Arial"/>
                <w:sz w:val="18"/>
                <w:szCs w:val="18"/>
              </w:rPr>
            </w:pPr>
            <w:r w:rsidRPr="00D4002C">
              <w:rPr>
                <w:rFonts w:ascii="Arial" w:hAnsi="Arial" w:cs="Arial"/>
                <w:sz w:val="18"/>
                <w:szCs w:val="18"/>
              </w:rPr>
              <w:t>16.923.011,49</w:t>
            </w:r>
          </w:p>
        </w:tc>
      </w:tr>
    </w:tbl>
    <w:p w:rsidR="0083188E" w:rsidRPr="00D4002C" w:rsidRDefault="0083188E" w:rsidP="00D4002C">
      <w:pPr>
        <w:pStyle w:val="1texte0"/>
        <w:spacing w:after="0" w:line="240" w:lineRule="auto"/>
        <w:ind w:left="0" w:firstLine="0"/>
        <w:jc w:val="left"/>
        <w:rPr>
          <w:rFonts w:ascii="Arial" w:hAnsi="Arial" w:cs="Arial"/>
          <w:sz w:val="18"/>
          <w:szCs w:val="18"/>
          <w:lang w:val="fr-LU"/>
        </w:rPr>
      </w:pPr>
    </w:p>
    <w:p w:rsidR="0083188E" w:rsidRPr="00D4002C" w:rsidRDefault="0083188E" w:rsidP="00D4002C">
      <w:pPr>
        <w:pStyle w:val="1texte0"/>
        <w:spacing w:after="0" w:line="240" w:lineRule="auto"/>
        <w:ind w:left="0" w:firstLine="0"/>
        <w:jc w:val="left"/>
        <w:rPr>
          <w:rFonts w:ascii="Arial" w:hAnsi="Arial" w:cs="Arial"/>
          <w:sz w:val="18"/>
          <w:szCs w:val="18"/>
          <w:lang w:val="fr-LU"/>
        </w:rPr>
      </w:pPr>
    </w:p>
    <w:tbl>
      <w:tblPr>
        <w:tblW w:w="7935" w:type="dxa"/>
        <w:tblInd w:w="1304" w:type="dxa"/>
        <w:tblLayout w:type="fixed"/>
        <w:tblCellMar>
          <w:left w:w="0" w:type="dxa"/>
          <w:right w:w="0" w:type="dxa"/>
        </w:tblCellMar>
        <w:tblLook w:val="04A0" w:firstRow="1" w:lastRow="0" w:firstColumn="1" w:lastColumn="0" w:noHBand="0" w:noVBand="1"/>
      </w:tblPr>
      <w:tblGrid>
        <w:gridCol w:w="567"/>
        <w:gridCol w:w="5606"/>
        <w:gridCol w:w="1762"/>
      </w:tblGrid>
      <w:tr w:rsidR="0083188E" w:rsidRPr="00D4002C" w:rsidTr="0083188E">
        <w:trPr>
          <w:cantSplit/>
        </w:trPr>
        <w:tc>
          <w:tcPr>
            <w:tcW w:w="7938" w:type="dxa"/>
            <w:gridSpan w:val="3"/>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lang w:val="fr-FR"/>
              </w:rPr>
            </w:pPr>
            <w:r w:rsidRPr="00D4002C">
              <w:rPr>
                <w:rFonts w:ascii="Arial" w:hAnsi="Arial" w:cs="Arial"/>
                <w:b/>
                <w:bCs/>
                <w:sz w:val="18"/>
                <w:szCs w:val="18"/>
              </w:rPr>
              <w:t>C. Recettes et dépenses des fonds déposés à la Trésorerie de l’Etat</w:t>
            </w:r>
          </w:p>
        </w:tc>
      </w:tr>
      <w:tr w:rsidR="0083188E" w:rsidRPr="00D4002C" w:rsidTr="0083188E">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tcPr>
          <w:p w:rsidR="0083188E" w:rsidRPr="00D4002C" w:rsidRDefault="0083188E" w:rsidP="00D4002C">
            <w:pPr>
              <w:spacing w:line="240" w:lineRule="auto"/>
              <w:rPr>
                <w:rFonts w:ascii="Arial" w:hAnsi="Arial" w:cs="Arial"/>
                <w:sz w:val="18"/>
                <w:szCs w:val="18"/>
              </w:rPr>
            </w:pP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Report du solde des recettes et dépenses de l’année précédente</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bottom"/>
            <w:hideMark/>
          </w:tcPr>
          <w:p w:rsidR="0083188E" w:rsidRPr="00D4002C" w:rsidRDefault="0083188E" w:rsidP="00D4002C">
            <w:pPr>
              <w:tabs>
                <w:tab w:val="decimal" w:pos="1405"/>
              </w:tabs>
              <w:spacing w:line="240" w:lineRule="auto"/>
              <w:rPr>
                <w:rFonts w:ascii="Arial" w:hAnsi="Arial" w:cs="Arial"/>
                <w:sz w:val="18"/>
                <w:szCs w:val="18"/>
              </w:rPr>
            </w:pPr>
            <w:r w:rsidRPr="00D4002C">
              <w:rPr>
                <w:rFonts w:ascii="Arial" w:hAnsi="Arial" w:cs="Arial"/>
                <w:sz w:val="18"/>
                <w:szCs w:val="18"/>
              </w:rPr>
              <w:t>2.814.228.690,75</w:t>
            </w:r>
          </w:p>
        </w:tc>
      </w:tr>
      <w:tr w:rsidR="0083188E" w:rsidRPr="00D4002C" w:rsidTr="0083188E">
        <w:trPr>
          <w:cantSplit/>
        </w:trPr>
        <w:tc>
          <w:tcPr>
            <w:tcW w:w="56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w:t>
            </w:r>
          </w:p>
        </w:tc>
        <w:tc>
          <w:tcPr>
            <w:tcW w:w="56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Recettes</w:t>
            </w:r>
          </w:p>
        </w:tc>
        <w:tc>
          <w:tcPr>
            <w:tcW w:w="1763" w:type="dxa"/>
            <w:tcBorders>
              <w:top w:val="nil"/>
              <w:left w:val="single" w:sz="4" w:space="0" w:color="auto"/>
              <w:bottom w:val="single" w:sz="4" w:space="0" w:color="auto"/>
              <w:right w:val="nil"/>
            </w:tcBorders>
            <w:tcMar>
              <w:top w:w="0" w:type="dxa"/>
              <w:left w:w="108" w:type="dxa"/>
              <w:bottom w:w="0" w:type="dxa"/>
              <w:right w:w="108" w:type="dxa"/>
            </w:tcMar>
            <w:vAlign w:val="bottom"/>
            <w:hideMark/>
          </w:tcPr>
          <w:p w:rsidR="0083188E" w:rsidRPr="00D4002C" w:rsidRDefault="0083188E" w:rsidP="00D4002C">
            <w:pPr>
              <w:tabs>
                <w:tab w:val="decimal" w:pos="1405"/>
              </w:tabs>
              <w:spacing w:line="240" w:lineRule="auto"/>
              <w:rPr>
                <w:rFonts w:ascii="Arial" w:hAnsi="Arial" w:cs="Arial"/>
                <w:sz w:val="18"/>
                <w:szCs w:val="18"/>
              </w:rPr>
            </w:pPr>
            <w:r w:rsidRPr="00D4002C">
              <w:rPr>
                <w:rFonts w:ascii="Arial" w:hAnsi="Arial" w:cs="Arial"/>
                <w:sz w:val="18"/>
                <w:szCs w:val="18"/>
              </w:rPr>
              <w:t>5.465.705.192,79</w:t>
            </w:r>
          </w:p>
        </w:tc>
      </w:tr>
      <w:tr w:rsidR="0083188E" w:rsidRPr="00D4002C" w:rsidTr="0083188E">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 xml:space="preserve">Dépenses </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hideMark/>
          </w:tcPr>
          <w:p w:rsidR="0083188E" w:rsidRPr="00D4002C" w:rsidRDefault="0083188E" w:rsidP="00D4002C">
            <w:pPr>
              <w:tabs>
                <w:tab w:val="decimal" w:pos="1405"/>
              </w:tabs>
              <w:spacing w:line="240" w:lineRule="auto"/>
              <w:rPr>
                <w:rFonts w:ascii="Arial" w:hAnsi="Arial" w:cs="Arial"/>
                <w:sz w:val="18"/>
                <w:szCs w:val="18"/>
              </w:rPr>
            </w:pPr>
            <w:r w:rsidRPr="00D4002C">
              <w:rPr>
                <w:rFonts w:ascii="Arial" w:hAnsi="Arial" w:cs="Arial"/>
                <w:sz w:val="18"/>
                <w:szCs w:val="18"/>
              </w:rPr>
              <w:t>5.341.883.347,82</w:t>
            </w:r>
          </w:p>
        </w:tc>
      </w:tr>
      <w:tr w:rsidR="0083188E" w:rsidRPr="00D4002C" w:rsidTr="0083188E">
        <w:trPr>
          <w:cantSplit/>
        </w:trPr>
        <w:tc>
          <w:tcPr>
            <w:tcW w:w="56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III.</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Excédent de recettes</w:t>
            </w:r>
          </w:p>
        </w:tc>
        <w:tc>
          <w:tcPr>
            <w:tcW w:w="1763" w:type="dxa"/>
            <w:tcBorders>
              <w:top w:val="single" w:sz="4" w:space="0" w:color="auto"/>
              <w:left w:val="single" w:sz="4" w:space="0" w:color="auto"/>
              <w:bottom w:val="single" w:sz="4" w:space="0" w:color="auto"/>
              <w:right w:val="nil"/>
            </w:tcBorders>
            <w:tcMar>
              <w:top w:w="0" w:type="dxa"/>
              <w:left w:w="108" w:type="dxa"/>
              <w:bottom w:w="0" w:type="dxa"/>
              <w:right w:w="108" w:type="dxa"/>
            </w:tcMar>
            <w:vAlign w:val="bottom"/>
            <w:hideMark/>
          </w:tcPr>
          <w:p w:rsidR="0083188E" w:rsidRPr="00D4002C" w:rsidRDefault="0083188E" w:rsidP="00D4002C">
            <w:pPr>
              <w:tabs>
                <w:tab w:val="decimal" w:pos="1405"/>
              </w:tabs>
              <w:spacing w:line="240" w:lineRule="auto"/>
              <w:rPr>
                <w:rFonts w:ascii="Arial" w:hAnsi="Arial" w:cs="Arial"/>
                <w:sz w:val="18"/>
                <w:szCs w:val="18"/>
              </w:rPr>
            </w:pPr>
            <w:r w:rsidRPr="00D4002C">
              <w:rPr>
                <w:rFonts w:ascii="Arial" w:hAnsi="Arial" w:cs="Arial"/>
                <w:sz w:val="18"/>
                <w:szCs w:val="18"/>
              </w:rPr>
              <w:t>123.821.844,97</w:t>
            </w:r>
          </w:p>
        </w:tc>
      </w:tr>
      <w:tr w:rsidR="0083188E" w:rsidRPr="00D4002C" w:rsidTr="0083188E">
        <w:trPr>
          <w:cantSplit/>
        </w:trPr>
        <w:tc>
          <w:tcPr>
            <w:tcW w:w="567" w:type="dxa"/>
            <w:tcBorders>
              <w:top w:val="single" w:sz="4" w:space="0" w:color="auto"/>
              <w:left w:val="nil"/>
              <w:bottom w:val="nil"/>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IV.</w:t>
            </w:r>
          </w:p>
        </w:tc>
        <w:tc>
          <w:tcPr>
            <w:tcW w:w="560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Report du solde des recettes et dépenses</w:t>
            </w:r>
          </w:p>
        </w:tc>
        <w:tc>
          <w:tcPr>
            <w:tcW w:w="1763" w:type="dxa"/>
            <w:tcBorders>
              <w:top w:val="single" w:sz="4" w:space="0" w:color="auto"/>
              <w:left w:val="single" w:sz="4" w:space="0" w:color="auto"/>
              <w:bottom w:val="nil"/>
              <w:right w:val="nil"/>
            </w:tcBorders>
            <w:tcMar>
              <w:top w:w="0" w:type="dxa"/>
              <w:left w:w="108" w:type="dxa"/>
              <w:bottom w:w="0" w:type="dxa"/>
              <w:right w:w="108" w:type="dxa"/>
            </w:tcMar>
            <w:vAlign w:val="bottom"/>
            <w:hideMark/>
          </w:tcPr>
          <w:p w:rsidR="0083188E" w:rsidRPr="00D4002C" w:rsidRDefault="0083188E" w:rsidP="00D4002C">
            <w:pPr>
              <w:tabs>
                <w:tab w:val="decimal" w:pos="1405"/>
              </w:tabs>
              <w:spacing w:line="240" w:lineRule="auto"/>
              <w:rPr>
                <w:rFonts w:ascii="Arial" w:hAnsi="Arial" w:cs="Arial"/>
                <w:sz w:val="18"/>
                <w:szCs w:val="18"/>
              </w:rPr>
            </w:pPr>
            <w:r w:rsidRPr="00D4002C">
              <w:rPr>
                <w:rFonts w:ascii="Arial" w:hAnsi="Arial" w:cs="Arial"/>
                <w:sz w:val="18"/>
                <w:szCs w:val="18"/>
              </w:rPr>
              <w:t>2.938.050.535,72</w:t>
            </w:r>
          </w:p>
        </w:tc>
      </w:tr>
    </w:tbl>
    <w:p w:rsidR="0083188E" w:rsidRPr="00D4002C" w:rsidRDefault="0083188E" w:rsidP="00D4002C">
      <w:pPr>
        <w:pStyle w:val="1TEXTE"/>
        <w:spacing w:after="0" w:line="240" w:lineRule="auto"/>
        <w:ind w:left="0" w:firstLine="0"/>
        <w:rPr>
          <w:rFonts w:ascii="Arial" w:hAnsi="Arial" w:cs="Arial"/>
          <w:sz w:val="16"/>
          <w:szCs w:val="16"/>
          <w:lang w:val="fr-LU"/>
        </w:rPr>
      </w:pPr>
    </w:p>
    <w:p w:rsidR="0083188E" w:rsidRPr="00D4002C" w:rsidRDefault="0083188E" w:rsidP="00D4002C">
      <w:pPr>
        <w:pStyle w:val="1TEXTE"/>
        <w:spacing w:after="0" w:line="240" w:lineRule="auto"/>
        <w:ind w:left="0" w:firstLine="0"/>
        <w:rPr>
          <w:rFonts w:ascii="Arial" w:hAnsi="Arial" w:cs="Arial"/>
          <w:sz w:val="16"/>
          <w:szCs w:val="16"/>
          <w:lang w:val="fr-LU"/>
        </w:rPr>
      </w:pPr>
      <w:r w:rsidRPr="00D4002C">
        <w:rPr>
          <w:rFonts w:ascii="Arial" w:hAnsi="Arial" w:cs="Arial"/>
          <w:sz w:val="16"/>
          <w:szCs w:val="16"/>
          <w:lang w:val="fr-LU"/>
        </w:rPr>
        <w:t>Source : Rapport général de la Cour des comptes (doc.parl.7330-2)</w:t>
      </w:r>
    </w:p>
    <w:p w:rsidR="0083188E" w:rsidRPr="00D4002C" w:rsidRDefault="0083188E" w:rsidP="00D4002C">
      <w:pPr>
        <w:pStyle w:val="1TEXTE"/>
        <w:spacing w:after="0" w:line="240" w:lineRule="auto"/>
        <w:ind w:left="0" w:firstLine="0"/>
        <w:rPr>
          <w:rFonts w:ascii="Arial" w:hAnsi="Arial" w:cs="Arial"/>
          <w:sz w:val="22"/>
          <w:szCs w:val="22"/>
          <w:lang w:val="fr-LU"/>
        </w:rPr>
      </w:pPr>
    </w:p>
    <w:p w:rsidR="0083188E" w:rsidRPr="00D4002C" w:rsidRDefault="0083188E" w:rsidP="00D4002C">
      <w:pPr>
        <w:pStyle w:val="1TEXTE"/>
        <w:spacing w:after="0" w:line="240" w:lineRule="auto"/>
        <w:ind w:left="0" w:firstLine="0"/>
        <w:rPr>
          <w:rFonts w:ascii="Arial" w:hAnsi="Arial" w:cs="Arial"/>
          <w:sz w:val="22"/>
          <w:szCs w:val="22"/>
          <w:lang w:val="fr-LU"/>
        </w:rPr>
      </w:pPr>
      <w:r w:rsidRPr="00D4002C">
        <w:rPr>
          <w:rFonts w:ascii="Arial" w:hAnsi="Arial" w:cs="Arial"/>
          <w:sz w:val="22"/>
          <w:szCs w:val="22"/>
          <w:lang w:val="fr-LU"/>
        </w:rPr>
        <w:t xml:space="preserve">L’exercice 2017 dégage un résultat positif de 1.352.825.779,99 euros. En imputant ce résultat au solde cumulé des exercices clos antérieurs, le report du solde des recettes et </w:t>
      </w:r>
      <w:r w:rsidRPr="00D4002C">
        <w:rPr>
          <w:rFonts w:ascii="Arial" w:hAnsi="Arial" w:cs="Arial"/>
          <w:sz w:val="22"/>
          <w:szCs w:val="22"/>
          <w:lang w:val="fr-LU"/>
        </w:rPr>
        <w:lastRenderedPageBreak/>
        <w:t>dépenses courantes et en capital, repris au bilan financier de l’Etat à présenter par la Trésorerie de l’Etat, s’établit à -1.073.070.429,49 euros.</w:t>
      </w:r>
    </w:p>
    <w:p w:rsidR="0083188E" w:rsidRPr="00D4002C" w:rsidRDefault="0083188E" w:rsidP="00D4002C">
      <w:pPr>
        <w:pStyle w:val="1TEXTE"/>
        <w:spacing w:after="0" w:line="240" w:lineRule="auto"/>
        <w:ind w:left="0" w:firstLine="0"/>
        <w:rPr>
          <w:rFonts w:ascii="Arial" w:hAnsi="Arial" w:cs="Arial"/>
          <w:sz w:val="22"/>
          <w:szCs w:val="22"/>
          <w:lang w:val="fr-LU"/>
        </w:rPr>
      </w:pPr>
    </w:p>
    <w:p w:rsidR="0083188E" w:rsidRPr="00D4002C" w:rsidRDefault="0083188E" w:rsidP="00D4002C">
      <w:pPr>
        <w:pStyle w:val="Default"/>
        <w:jc w:val="center"/>
        <w:rPr>
          <w:rFonts w:ascii="Arial" w:hAnsi="Arial" w:cs="Arial"/>
          <w:sz w:val="22"/>
          <w:szCs w:val="22"/>
        </w:rPr>
      </w:pPr>
      <w:r w:rsidRPr="00D4002C">
        <w:rPr>
          <w:rFonts w:ascii="Arial" w:hAnsi="Arial" w:cs="Arial"/>
          <w:sz w:val="22"/>
          <w:szCs w:val="22"/>
        </w:rPr>
        <w:t>Situation globale de l’exécution du budget 2017</w:t>
      </w:r>
    </w:p>
    <w:p w:rsidR="0083188E" w:rsidRPr="00D4002C" w:rsidRDefault="0083188E" w:rsidP="00D4002C">
      <w:pPr>
        <w:pStyle w:val="Default"/>
        <w:jc w:val="both"/>
        <w:rPr>
          <w:rFonts w:ascii="Arial" w:hAnsi="Arial" w:cs="Arial"/>
          <w:sz w:val="22"/>
          <w:szCs w:val="22"/>
        </w:rPr>
      </w:pPr>
    </w:p>
    <w:p w:rsidR="0083188E" w:rsidRPr="00D4002C" w:rsidRDefault="0083188E" w:rsidP="00D4002C">
      <w:pPr>
        <w:pStyle w:val="1TEXTE"/>
        <w:spacing w:after="0" w:line="240" w:lineRule="auto"/>
        <w:ind w:left="0" w:firstLine="0"/>
        <w:rPr>
          <w:rFonts w:ascii="Arial" w:hAnsi="Arial" w:cs="Arial"/>
          <w:sz w:val="22"/>
          <w:szCs w:val="22"/>
          <w:lang w:val="fr-LU"/>
        </w:rPr>
      </w:pPr>
      <w:r w:rsidRPr="00D4002C">
        <w:rPr>
          <w:rFonts w:ascii="Arial" w:hAnsi="Arial" w:cs="Arial"/>
          <w:sz w:val="22"/>
          <w:szCs w:val="22"/>
          <w:lang w:val="fr-LU"/>
        </w:rPr>
        <w:t>Par rapport au budget voté de l’exercice 2017, tel qu’il fut arrêté par la loi du 23 décembre 2016, les variations des recettes et des dépenses enregistrées au compte général de l’Etat de l’exercice 2017 peuvent être résumées comme suit :</w:t>
      </w:r>
    </w:p>
    <w:p w:rsidR="0083188E" w:rsidRPr="00D4002C" w:rsidRDefault="0083188E" w:rsidP="00D4002C">
      <w:pPr>
        <w:pStyle w:val="1TitreTableaugrand"/>
        <w:spacing w:line="240" w:lineRule="auto"/>
        <w:ind w:firstLine="0"/>
        <w:rPr>
          <w:rFonts w:ascii="Arial" w:hAnsi="Arial" w:cs="Arial"/>
          <w:sz w:val="18"/>
          <w:szCs w:val="18"/>
          <w:lang w:val="fr-LU"/>
        </w:rPr>
      </w:pPr>
      <w:r w:rsidRPr="00D4002C">
        <w:rPr>
          <w:rFonts w:ascii="Arial" w:hAnsi="Arial" w:cs="Arial"/>
          <w:sz w:val="18"/>
          <w:szCs w:val="18"/>
          <w:lang w:val="fr-LU"/>
        </w:rPr>
        <w:t>Tableau : Budget et compte 2017</w:t>
      </w:r>
    </w:p>
    <w:tbl>
      <w:tblPr>
        <w:tblW w:w="8595" w:type="dxa"/>
        <w:tblInd w:w="567"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9"/>
        <w:gridCol w:w="1984"/>
        <w:gridCol w:w="1983"/>
        <w:gridCol w:w="2019"/>
        <w:gridCol w:w="910"/>
      </w:tblGrid>
      <w:tr w:rsidR="0083188E" w:rsidRPr="00D4002C" w:rsidTr="0083188E">
        <w:trPr>
          <w:cantSplit/>
        </w:trPr>
        <w:tc>
          <w:tcPr>
            <w:tcW w:w="1701"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83188E" w:rsidRPr="00D4002C" w:rsidRDefault="0083188E" w:rsidP="00D4002C">
            <w:pPr>
              <w:spacing w:line="240" w:lineRule="auto"/>
              <w:rPr>
                <w:rFonts w:ascii="Arial" w:hAnsi="Arial" w:cs="Arial"/>
                <w:sz w:val="18"/>
                <w:szCs w:val="18"/>
                <w:lang w:val="fr-FR"/>
              </w:rPr>
            </w:pPr>
          </w:p>
        </w:tc>
        <w:tc>
          <w:tcPr>
            <w:tcW w:w="198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sz w:val="18"/>
                <w:szCs w:val="18"/>
              </w:rPr>
            </w:pPr>
            <w:r w:rsidRPr="00D4002C">
              <w:rPr>
                <w:rFonts w:ascii="Arial" w:hAnsi="Arial" w:cs="Arial"/>
                <w:b/>
                <w:bCs/>
                <w:sz w:val="18"/>
                <w:szCs w:val="18"/>
              </w:rPr>
              <w:t>Budget voté</w:t>
            </w:r>
            <w:r w:rsidRPr="00D4002C">
              <w:rPr>
                <w:rFonts w:ascii="Arial" w:hAnsi="Arial" w:cs="Arial"/>
                <w:b/>
                <w:bCs/>
                <w:sz w:val="18"/>
                <w:szCs w:val="18"/>
              </w:rPr>
              <w:br/>
              <w:t>2017</w:t>
            </w:r>
          </w:p>
        </w:tc>
        <w:tc>
          <w:tcPr>
            <w:tcW w:w="1984"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sz w:val="18"/>
                <w:szCs w:val="18"/>
              </w:rPr>
            </w:pPr>
            <w:r w:rsidRPr="00D4002C">
              <w:rPr>
                <w:rFonts w:ascii="Arial" w:hAnsi="Arial" w:cs="Arial"/>
                <w:b/>
                <w:bCs/>
                <w:sz w:val="18"/>
                <w:szCs w:val="18"/>
              </w:rPr>
              <w:t>Compte général</w:t>
            </w:r>
            <w:r w:rsidRPr="00D4002C">
              <w:rPr>
                <w:rFonts w:ascii="Arial" w:hAnsi="Arial" w:cs="Arial"/>
                <w:b/>
                <w:bCs/>
                <w:sz w:val="18"/>
                <w:szCs w:val="18"/>
              </w:rPr>
              <w:br/>
              <w:t>2017</w:t>
            </w:r>
          </w:p>
        </w:tc>
        <w:tc>
          <w:tcPr>
            <w:tcW w:w="2930" w:type="dxa"/>
            <w:gridSpan w:val="2"/>
            <w:tcBorders>
              <w:top w:val="nil"/>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sz w:val="18"/>
                <w:szCs w:val="18"/>
              </w:rPr>
            </w:pPr>
            <w:r w:rsidRPr="00D4002C">
              <w:rPr>
                <w:rFonts w:ascii="Arial" w:hAnsi="Arial" w:cs="Arial"/>
                <w:b/>
                <w:bCs/>
                <w:sz w:val="18"/>
                <w:szCs w:val="18"/>
              </w:rPr>
              <w:t>Variation</w:t>
            </w:r>
          </w:p>
        </w:tc>
      </w:tr>
      <w:tr w:rsidR="0083188E" w:rsidRPr="00D4002C" w:rsidTr="0083188E">
        <w:trPr>
          <w:cantSplit/>
        </w:trPr>
        <w:tc>
          <w:tcPr>
            <w:tcW w:w="1701" w:type="dxa"/>
            <w:vMerge/>
            <w:tcBorders>
              <w:top w:val="nil"/>
              <w:left w:val="nil"/>
              <w:bottom w:val="single" w:sz="4" w:space="0" w:color="auto"/>
              <w:right w:val="single" w:sz="4" w:space="0" w:color="auto"/>
            </w:tcBorders>
            <w:vAlign w:val="center"/>
            <w:hideMark/>
          </w:tcPr>
          <w:p w:rsidR="0083188E" w:rsidRPr="00D4002C" w:rsidRDefault="0083188E" w:rsidP="00D4002C">
            <w:pPr>
              <w:spacing w:line="240" w:lineRule="auto"/>
              <w:rPr>
                <w:rFonts w:ascii="Arial" w:hAnsi="Arial" w:cs="Arial"/>
                <w:sz w:val="18"/>
                <w:szCs w:val="18"/>
                <w:lang w:val="fr-FR" w:eastAsia="fr-FR"/>
              </w:rPr>
            </w:pPr>
          </w:p>
        </w:tc>
        <w:tc>
          <w:tcPr>
            <w:tcW w:w="1985" w:type="dxa"/>
            <w:vMerge/>
            <w:tcBorders>
              <w:top w:val="nil"/>
              <w:left w:val="single" w:sz="4" w:space="0" w:color="auto"/>
              <w:bottom w:val="single" w:sz="4" w:space="0" w:color="auto"/>
              <w:right w:val="single" w:sz="4" w:space="0" w:color="auto"/>
            </w:tcBorders>
            <w:vAlign w:val="center"/>
            <w:hideMark/>
          </w:tcPr>
          <w:p w:rsidR="0083188E" w:rsidRPr="00D4002C" w:rsidRDefault="0083188E" w:rsidP="00D4002C">
            <w:pPr>
              <w:spacing w:line="240" w:lineRule="auto"/>
              <w:rPr>
                <w:rFonts w:ascii="Arial" w:hAnsi="Arial" w:cs="Arial"/>
                <w:sz w:val="18"/>
                <w:szCs w:val="18"/>
                <w:lang w:val="fr-FR" w:eastAsia="fr-FR"/>
              </w:rPr>
            </w:pPr>
          </w:p>
        </w:tc>
        <w:tc>
          <w:tcPr>
            <w:tcW w:w="1984" w:type="dxa"/>
            <w:vMerge/>
            <w:tcBorders>
              <w:top w:val="nil"/>
              <w:left w:val="single" w:sz="4" w:space="0" w:color="auto"/>
              <w:bottom w:val="single" w:sz="4" w:space="0" w:color="auto"/>
              <w:right w:val="single" w:sz="4" w:space="0" w:color="auto"/>
            </w:tcBorders>
            <w:vAlign w:val="center"/>
            <w:hideMark/>
          </w:tcPr>
          <w:p w:rsidR="0083188E" w:rsidRPr="00D4002C" w:rsidRDefault="0083188E" w:rsidP="00D4002C">
            <w:pPr>
              <w:spacing w:line="240" w:lineRule="auto"/>
              <w:rPr>
                <w:rFonts w:ascii="Arial" w:hAnsi="Arial" w:cs="Arial"/>
                <w:sz w:val="18"/>
                <w:szCs w:val="18"/>
                <w:lang w:val="fr-FR" w:eastAsia="fr-FR"/>
              </w:rPr>
            </w:pP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b/>
                <w:bCs/>
                <w:sz w:val="18"/>
                <w:szCs w:val="18"/>
              </w:rPr>
            </w:pPr>
            <w:r w:rsidRPr="00D4002C">
              <w:rPr>
                <w:rFonts w:ascii="Arial" w:hAnsi="Arial" w:cs="Arial"/>
                <w:b/>
                <w:bCs/>
                <w:sz w:val="18"/>
                <w:szCs w:val="18"/>
              </w:rPr>
              <w:t>en valeur</w:t>
            </w:r>
          </w:p>
        </w:tc>
        <w:tc>
          <w:tcPr>
            <w:tcW w:w="910" w:type="dxa"/>
            <w:tcBorders>
              <w:top w:val="single" w:sz="4" w:space="0" w:color="auto"/>
              <w:left w:val="single" w:sz="4" w:space="0" w:color="auto"/>
              <w:bottom w:val="single" w:sz="4" w:space="0" w:color="auto"/>
              <w:right w:val="nil"/>
            </w:tcBorders>
            <w:vAlign w:val="center"/>
            <w:hideMark/>
          </w:tcPr>
          <w:p w:rsidR="0083188E" w:rsidRPr="00D4002C" w:rsidRDefault="0083188E" w:rsidP="00D4002C">
            <w:pPr>
              <w:spacing w:line="240" w:lineRule="auto"/>
              <w:jc w:val="center"/>
              <w:rPr>
                <w:rFonts w:ascii="Arial" w:hAnsi="Arial" w:cs="Arial"/>
                <w:b/>
                <w:bCs/>
                <w:sz w:val="18"/>
                <w:szCs w:val="18"/>
              </w:rPr>
            </w:pPr>
            <w:r w:rsidRPr="00D4002C">
              <w:rPr>
                <w:rFonts w:ascii="Arial" w:hAnsi="Arial" w:cs="Arial"/>
                <w:b/>
                <w:bCs/>
                <w:sz w:val="18"/>
                <w:szCs w:val="18"/>
              </w:rPr>
              <w:t>en %</w:t>
            </w:r>
          </w:p>
        </w:tc>
      </w:tr>
      <w:tr w:rsidR="0083188E" w:rsidRPr="00D4002C" w:rsidTr="0083188E">
        <w:trPr>
          <w:cantSplit/>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Recettes</w:t>
            </w:r>
            <w:r w:rsidRPr="00D4002C">
              <w:rPr>
                <w:rFonts w:ascii="Arial" w:hAnsi="Arial" w:cs="Arial"/>
                <w:sz w:val="18"/>
                <w:szCs w:val="18"/>
              </w:rPr>
              <w:br/>
              <w:t>- courantes</w:t>
            </w:r>
            <w:r w:rsidRPr="00D4002C">
              <w:rPr>
                <w:rFonts w:ascii="Arial" w:hAnsi="Arial" w:cs="Arial"/>
                <w:sz w:val="18"/>
                <w:szCs w:val="18"/>
              </w:rPr>
              <w:br/>
              <w:t>- en capital</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18"/>
                <w:szCs w:val="18"/>
              </w:rPr>
            </w:pPr>
            <w:r w:rsidRPr="00D4002C">
              <w:rPr>
                <w:rFonts w:ascii="Arial" w:hAnsi="Arial" w:cs="Arial"/>
                <w:sz w:val="18"/>
                <w:szCs w:val="18"/>
              </w:rPr>
              <w:br/>
              <w:t>13.153.654.513,00</w:t>
            </w:r>
            <w:r w:rsidRPr="00D4002C">
              <w:rPr>
                <w:rFonts w:ascii="Arial" w:hAnsi="Arial" w:cs="Arial"/>
                <w:sz w:val="18"/>
                <w:szCs w:val="18"/>
              </w:rPr>
              <w:br/>
              <w:t>90.244.900,00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18"/>
                <w:szCs w:val="18"/>
              </w:rPr>
            </w:pPr>
            <w:r w:rsidRPr="00D4002C">
              <w:rPr>
                <w:rFonts w:ascii="Arial" w:hAnsi="Arial" w:cs="Arial"/>
                <w:sz w:val="18"/>
                <w:szCs w:val="18"/>
              </w:rPr>
              <w:br/>
              <w:t>13.688.844.994,43</w:t>
            </w:r>
            <w:r w:rsidRPr="00D4002C">
              <w:rPr>
                <w:rFonts w:ascii="Arial" w:hAnsi="Arial" w:cs="Arial"/>
                <w:sz w:val="18"/>
                <w:szCs w:val="18"/>
              </w:rPr>
              <w:br/>
              <w:t>1.938.904.179,47</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18"/>
                <w:szCs w:val="18"/>
              </w:rPr>
            </w:pPr>
            <w:r w:rsidRPr="00D4002C">
              <w:rPr>
                <w:rFonts w:ascii="Arial" w:hAnsi="Arial" w:cs="Arial"/>
                <w:sz w:val="18"/>
                <w:szCs w:val="18"/>
              </w:rPr>
              <w:br/>
              <w:t>535.190.481,43</w:t>
            </w:r>
            <w:r w:rsidRPr="00D4002C">
              <w:rPr>
                <w:rFonts w:ascii="Arial" w:hAnsi="Arial" w:cs="Arial"/>
                <w:sz w:val="18"/>
                <w:szCs w:val="18"/>
              </w:rPr>
              <w:br/>
              <w:t>1.848.659.279,47</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18"/>
                <w:szCs w:val="18"/>
              </w:rPr>
            </w:pPr>
            <w:r w:rsidRPr="00D4002C">
              <w:rPr>
                <w:rFonts w:ascii="Arial" w:hAnsi="Arial" w:cs="Arial"/>
                <w:sz w:val="18"/>
                <w:szCs w:val="18"/>
              </w:rPr>
              <w:br/>
              <w:t>4,07%</w:t>
            </w:r>
            <w:r w:rsidRPr="00D4002C">
              <w:rPr>
                <w:rFonts w:ascii="Arial" w:hAnsi="Arial" w:cs="Arial"/>
                <w:sz w:val="18"/>
                <w:szCs w:val="18"/>
              </w:rPr>
              <w:br/>
              <w:t>2.048%</w:t>
            </w:r>
          </w:p>
        </w:tc>
      </w:tr>
      <w:tr w:rsidR="0083188E" w:rsidRPr="00D4002C" w:rsidTr="0083188E">
        <w:trPr>
          <w:cantSplit/>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Total recettes (1)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18"/>
                <w:szCs w:val="18"/>
              </w:rPr>
            </w:pPr>
            <w:r w:rsidRPr="00D4002C">
              <w:rPr>
                <w:rFonts w:ascii="Arial" w:hAnsi="Arial" w:cs="Arial"/>
                <w:sz w:val="18"/>
                <w:szCs w:val="18"/>
              </w:rPr>
              <w:t>13.243.899.413,00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18"/>
                <w:szCs w:val="18"/>
              </w:rPr>
            </w:pPr>
            <w:r w:rsidRPr="00D4002C">
              <w:rPr>
                <w:rFonts w:ascii="Arial" w:hAnsi="Arial" w:cs="Arial"/>
                <w:sz w:val="18"/>
                <w:szCs w:val="18"/>
              </w:rPr>
              <w:t>15.627.749.173,90</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18"/>
                <w:szCs w:val="18"/>
              </w:rPr>
            </w:pPr>
            <w:r w:rsidRPr="00D4002C">
              <w:rPr>
                <w:rFonts w:ascii="Arial" w:hAnsi="Arial" w:cs="Arial"/>
                <w:sz w:val="18"/>
                <w:szCs w:val="18"/>
              </w:rPr>
              <w:t>2.383.849.760,90</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18"/>
                <w:szCs w:val="18"/>
              </w:rPr>
            </w:pPr>
            <w:r w:rsidRPr="00D4002C">
              <w:rPr>
                <w:rFonts w:ascii="Arial" w:hAnsi="Arial" w:cs="Arial"/>
                <w:sz w:val="18"/>
                <w:szCs w:val="18"/>
              </w:rPr>
              <w:t>18,00%</w:t>
            </w:r>
          </w:p>
        </w:tc>
      </w:tr>
      <w:tr w:rsidR="0083188E" w:rsidRPr="00D4002C" w:rsidTr="0083188E">
        <w:trPr>
          <w:cantSplit/>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Dépenses</w:t>
            </w:r>
            <w:r w:rsidRPr="00D4002C">
              <w:rPr>
                <w:rFonts w:ascii="Arial" w:hAnsi="Arial" w:cs="Arial"/>
                <w:sz w:val="18"/>
                <w:szCs w:val="18"/>
              </w:rPr>
              <w:br/>
              <w:t>- courantes</w:t>
            </w:r>
            <w:r w:rsidRPr="00D4002C">
              <w:rPr>
                <w:rFonts w:ascii="Arial" w:hAnsi="Arial" w:cs="Arial"/>
                <w:sz w:val="18"/>
                <w:szCs w:val="18"/>
              </w:rPr>
              <w:br/>
              <w:t>- en capital</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18"/>
                <w:szCs w:val="18"/>
              </w:rPr>
            </w:pPr>
            <w:r w:rsidRPr="00D4002C">
              <w:rPr>
                <w:rFonts w:ascii="Arial" w:hAnsi="Arial" w:cs="Arial"/>
                <w:sz w:val="18"/>
                <w:szCs w:val="18"/>
              </w:rPr>
              <w:br/>
              <w:t>12.701.039.724,00</w:t>
            </w:r>
            <w:r w:rsidRPr="00D4002C">
              <w:rPr>
                <w:rFonts w:ascii="Arial" w:hAnsi="Arial" w:cs="Arial"/>
                <w:sz w:val="18"/>
                <w:szCs w:val="18"/>
              </w:rPr>
              <w:br/>
              <w:t>1.393.831.794,00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18"/>
                <w:szCs w:val="18"/>
              </w:rPr>
            </w:pPr>
            <w:r w:rsidRPr="00D4002C">
              <w:rPr>
                <w:rFonts w:ascii="Arial" w:hAnsi="Arial" w:cs="Arial"/>
                <w:sz w:val="18"/>
                <w:szCs w:val="18"/>
              </w:rPr>
              <w:br/>
              <w:t>12.798.233.758,59</w:t>
            </w:r>
            <w:r w:rsidRPr="00D4002C">
              <w:rPr>
                <w:rFonts w:ascii="Arial" w:hAnsi="Arial" w:cs="Arial"/>
                <w:sz w:val="18"/>
                <w:szCs w:val="18"/>
              </w:rPr>
              <w:br/>
              <w:t>1.476.689.635,32</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18"/>
                <w:szCs w:val="18"/>
              </w:rPr>
            </w:pPr>
            <w:r w:rsidRPr="00D4002C">
              <w:rPr>
                <w:rFonts w:ascii="Arial" w:hAnsi="Arial" w:cs="Arial"/>
                <w:sz w:val="18"/>
                <w:szCs w:val="18"/>
              </w:rPr>
              <w:br/>
              <w:t>97.194.034,59</w:t>
            </w:r>
            <w:r w:rsidRPr="00D4002C">
              <w:rPr>
                <w:rFonts w:ascii="Arial" w:hAnsi="Arial" w:cs="Arial"/>
                <w:sz w:val="18"/>
                <w:szCs w:val="18"/>
              </w:rPr>
              <w:br/>
              <w:t>82.857.841,32</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18"/>
                <w:szCs w:val="18"/>
              </w:rPr>
            </w:pPr>
            <w:r w:rsidRPr="00D4002C">
              <w:rPr>
                <w:rFonts w:ascii="Arial" w:hAnsi="Arial" w:cs="Arial"/>
                <w:sz w:val="18"/>
                <w:szCs w:val="18"/>
              </w:rPr>
              <w:br/>
              <w:t>0,77%</w:t>
            </w:r>
            <w:r w:rsidRPr="00D4002C">
              <w:rPr>
                <w:rFonts w:ascii="Arial" w:hAnsi="Arial" w:cs="Arial"/>
                <w:sz w:val="18"/>
                <w:szCs w:val="18"/>
              </w:rPr>
              <w:br/>
              <w:t>5,94%</w:t>
            </w:r>
          </w:p>
        </w:tc>
      </w:tr>
      <w:tr w:rsidR="0083188E" w:rsidRPr="00D4002C" w:rsidTr="0083188E">
        <w:trPr>
          <w:cantSplit/>
          <w:trHeight w:val="275"/>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Total dépenses (2)</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18"/>
                <w:szCs w:val="18"/>
              </w:rPr>
            </w:pPr>
            <w:r w:rsidRPr="00D4002C">
              <w:rPr>
                <w:rFonts w:ascii="Arial" w:hAnsi="Arial" w:cs="Arial"/>
                <w:sz w:val="18"/>
                <w:szCs w:val="18"/>
              </w:rPr>
              <w:t>14.094.871.518,00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18"/>
                <w:szCs w:val="18"/>
              </w:rPr>
            </w:pPr>
            <w:r w:rsidRPr="00D4002C">
              <w:rPr>
                <w:rFonts w:ascii="Arial" w:hAnsi="Arial" w:cs="Arial"/>
                <w:sz w:val="18"/>
                <w:szCs w:val="18"/>
              </w:rPr>
              <w:t>14.274.923.393,91</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18"/>
                <w:szCs w:val="18"/>
              </w:rPr>
            </w:pPr>
            <w:r w:rsidRPr="00D4002C">
              <w:rPr>
                <w:rFonts w:ascii="Arial" w:hAnsi="Arial" w:cs="Arial"/>
                <w:sz w:val="18"/>
                <w:szCs w:val="18"/>
              </w:rPr>
              <w:t>180.051.875,91</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18"/>
                <w:szCs w:val="18"/>
              </w:rPr>
            </w:pPr>
            <w:r w:rsidRPr="00D4002C">
              <w:rPr>
                <w:rFonts w:ascii="Arial" w:hAnsi="Arial" w:cs="Arial"/>
                <w:sz w:val="18"/>
                <w:szCs w:val="18"/>
              </w:rPr>
              <w:t>1,28%</w:t>
            </w:r>
          </w:p>
        </w:tc>
      </w:tr>
      <w:tr w:rsidR="0083188E" w:rsidRPr="00D4002C" w:rsidTr="0083188E">
        <w:trPr>
          <w:cantSplit/>
        </w:trPr>
        <w:tc>
          <w:tcPr>
            <w:tcW w:w="1701" w:type="dxa"/>
            <w:tcBorders>
              <w:top w:val="single" w:sz="4" w:space="0" w:color="auto"/>
              <w:left w:val="nil"/>
              <w:bottom w:val="nil"/>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18"/>
                <w:szCs w:val="18"/>
              </w:rPr>
            </w:pPr>
            <w:r w:rsidRPr="00D4002C">
              <w:rPr>
                <w:rFonts w:ascii="Arial" w:hAnsi="Arial" w:cs="Arial"/>
                <w:sz w:val="18"/>
                <w:szCs w:val="18"/>
              </w:rPr>
              <w:t xml:space="preserve">Excédent de </w:t>
            </w:r>
            <w:r w:rsidRPr="00D4002C">
              <w:rPr>
                <w:rFonts w:ascii="Arial" w:hAnsi="Arial" w:cs="Arial"/>
                <w:sz w:val="18"/>
                <w:szCs w:val="18"/>
              </w:rPr>
              <w:br/>
              <w:t>recettes (1) - (2)</w:t>
            </w:r>
          </w:p>
        </w:tc>
        <w:tc>
          <w:tcPr>
            <w:tcW w:w="198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bottom"/>
            <w:hideMark/>
          </w:tcPr>
          <w:p w:rsidR="0083188E" w:rsidRPr="00D4002C" w:rsidRDefault="0083188E" w:rsidP="00D4002C">
            <w:pPr>
              <w:tabs>
                <w:tab w:val="decimal" w:pos="1452"/>
              </w:tabs>
              <w:spacing w:line="240" w:lineRule="auto"/>
              <w:jc w:val="right"/>
              <w:rPr>
                <w:rFonts w:ascii="Arial" w:hAnsi="Arial" w:cs="Arial"/>
                <w:sz w:val="18"/>
                <w:szCs w:val="18"/>
              </w:rPr>
            </w:pPr>
            <w:r w:rsidRPr="00D4002C">
              <w:rPr>
                <w:rFonts w:ascii="Arial" w:hAnsi="Arial" w:cs="Arial"/>
                <w:sz w:val="18"/>
                <w:szCs w:val="18"/>
              </w:rPr>
              <w:t>-850.972.105,00</w:t>
            </w:r>
          </w:p>
        </w:tc>
        <w:tc>
          <w:tcPr>
            <w:tcW w:w="1984" w:type="dxa"/>
            <w:tcBorders>
              <w:top w:val="single" w:sz="4" w:space="0" w:color="auto"/>
              <w:left w:val="single" w:sz="4" w:space="0" w:color="auto"/>
              <w:bottom w:val="nil"/>
              <w:right w:val="single" w:sz="4" w:space="0" w:color="auto"/>
            </w:tcBorders>
            <w:tcMar>
              <w:top w:w="0" w:type="dxa"/>
              <w:left w:w="108" w:type="dxa"/>
              <w:bottom w:w="0" w:type="dxa"/>
              <w:right w:w="108" w:type="dxa"/>
            </w:tcMar>
            <w:vAlign w:val="bottom"/>
            <w:hideMark/>
          </w:tcPr>
          <w:p w:rsidR="0083188E" w:rsidRPr="00D4002C" w:rsidRDefault="0083188E" w:rsidP="00D4002C">
            <w:pPr>
              <w:tabs>
                <w:tab w:val="decimal" w:pos="1451"/>
              </w:tabs>
              <w:spacing w:line="240" w:lineRule="auto"/>
              <w:jc w:val="right"/>
              <w:rPr>
                <w:rFonts w:ascii="Arial" w:hAnsi="Arial" w:cs="Arial"/>
                <w:sz w:val="18"/>
                <w:szCs w:val="18"/>
              </w:rPr>
            </w:pPr>
            <w:r w:rsidRPr="00D4002C">
              <w:rPr>
                <w:rFonts w:ascii="Arial" w:hAnsi="Arial" w:cs="Arial"/>
                <w:sz w:val="18"/>
                <w:szCs w:val="18"/>
              </w:rPr>
              <w:t>1.352.825.779,99</w:t>
            </w:r>
          </w:p>
        </w:tc>
        <w:tc>
          <w:tcPr>
            <w:tcW w:w="2020" w:type="dxa"/>
            <w:tcBorders>
              <w:top w:val="single" w:sz="4" w:space="0" w:color="auto"/>
              <w:left w:val="single" w:sz="4" w:space="0" w:color="auto"/>
              <w:bottom w:val="nil"/>
              <w:right w:val="single" w:sz="4" w:space="0" w:color="auto"/>
            </w:tcBorders>
            <w:tcMar>
              <w:top w:w="0" w:type="dxa"/>
              <w:left w:w="108" w:type="dxa"/>
              <w:bottom w:w="0" w:type="dxa"/>
              <w:right w:w="108" w:type="dxa"/>
            </w:tcMar>
            <w:vAlign w:val="bottom"/>
            <w:hideMark/>
          </w:tcPr>
          <w:p w:rsidR="0083188E" w:rsidRPr="00D4002C" w:rsidRDefault="0083188E" w:rsidP="00D4002C">
            <w:pPr>
              <w:tabs>
                <w:tab w:val="decimal" w:pos="1281"/>
              </w:tabs>
              <w:spacing w:line="240" w:lineRule="auto"/>
              <w:jc w:val="right"/>
              <w:rPr>
                <w:rFonts w:ascii="Arial" w:hAnsi="Arial" w:cs="Arial"/>
                <w:sz w:val="18"/>
                <w:szCs w:val="18"/>
              </w:rPr>
            </w:pPr>
            <w:r w:rsidRPr="00D4002C">
              <w:rPr>
                <w:rFonts w:ascii="Arial" w:hAnsi="Arial" w:cs="Arial"/>
                <w:sz w:val="18"/>
                <w:szCs w:val="18"/>
              </w:rPr>
              <w:t>2.203.797.884,99</w:t>
            </w:r>
          </w:p>
        </w:tc>
        <w:tc>
          <w:tcPr>
            <w:tcW w:w="910" w:type="dxa"/>
            <w:tcBorders>
              <w:top w:val="single" w:sz="4" w:space="0" w:color="auto"/>
              <w:left w:val="single" w:sz="4" w:space="0" w:color="auto"/>
              <w:bottom w:val="nil"/>
              <w:right w:val="nil"/>
            </w:tcBorders>
            <w:tcMar>
              <w:top w:w="0" w:type="dxa"/>
              <w:left w:w="108" w:type="dxa"/>
              <w:bottom w:w="0" w:type="dxa"/>
              <w:right w:w="108" w:type="dxa"/>
            </w:tcMar>
            <w:vAlign w:val="bottom"/>
            <w:hideMark/>
          </w:tcPr>
          <w:p w:rsidR="0083188E" w:rsidRPr="00D4002C" w:rsidRDefault="0083188E" w:rsidP="00D4002C">
            <w:pPr>
              <w:tabs>
                <w:tab w:val="decimal" w:pos="562"/>
              </w:tabs>
              <w:spacing w:line="240" w:lineRule="auto"/>
              <w:jc w:val="right"/>
              <w:rPr>
                <w:rFonts w:ascii="Arial" w:hAnsi="Arial" w:cs="Arial"/>
                <w:sz w:val="18"/>
                <w:szCs w:val="18"/>
              </w:rPr>
            </w:pPr>
            <w:r w:rsidRPr="00D4002C">
              <w:rPr>
                <w:rFonts w:ascii="Arial" w:hAnsi="Arial" w:cs="Arial"/>
                <w:sz w:val="18"/>
                <w:szCs w:val="18"/>
              </w:rPr>
              <w:t> </w:t>
            </w:r>
          </w:p>
        </w:tc>
      </w:tr>
    </w:tbl>
    <w:p w:rsidR="0083188E" w:rsidRPr="00D4002C" w:rsidRDefault="0083188E" w:rsidP="00D4002C">
      <w:pPr>
        <w:tabs>
          <w:tab w:val="left" w:pos="4788"/>
          <w:tab w:val="left" w:pos="6468"/>
          <w:tab w:val="left" w:pos="8112"/>
        </w:tabs>
        <w:spacing w:line="240" w:lineRule="auto"/>
        <w:rPr>
          <w:rFonts w:ascii="Arial" w:hAnsi="Arial" w:cs="Arial"/>
          <w:i/>
          <w:sz w:val="18"/>
          <w:szCs w:val="18"/>
          <w:lang w:val="fr-FR" w:eastAsia="fr-FR"/>
        </w:rPr>
      </w:pPr>
      <w:r w:rsidRPr="00D4002C">
        <w:rPr>
          <w:rFonts w:ascii="Arial" w:hAnsi="Arial" w:cs="Arial"/>
          <w:i/>
          <w:sz w:val="18"/>
          <w:szCs w:val="18"/>
        </w:rPr>
        <w:t>Source chiffres : budget de l’Etat 2017, compte général 2017, tableau : Cour des comptes</w:t>
      </w:r>
    </w:p>
    <w:p w:rsidR="0083188E" w:rsidRPr="00D4002C" w:rsidRDefault="0083188E" w:rsidP="00D4002C">
      <w:pPr>
        <w:pStyle w:val="1TEXTE"/>
        <w:spacing w:after="0" w:line="240" w:lineRule="auto"/>
        <w:ind w:left="0" w:firstLine="0"/>
        <w:rPr>
          <w:rFonts w:ascii="Arial" w:hAnsi="Arial" w:cs="Arial"/>
          <w:sz w:val="22"/>
          <w:szCs w:val="22"/>
          <w:lang w:val="fr-LU"/>
        </w:rPr>
      </w:pPr>
    </w:p>
    <w:p w:rsidR="0083188E" w:rsidRPr="00D4002C" w:rsidRDefault="0083188E" w:rsidP="00D4002C">
      <w:pPr>
        <w:pStyle w:val="1TEXTE"/>
        <w:spacing w:after="0" w:line="240" w:lineRule="auto"/>
        <w:ind w:left="0" w:firstLine="0"/>
        <w:rPr>
          <w:rFonts w:ascii="Arial" w:hAnsi="Arial" w:cs="Arial"/>
          <w:sz w:val="22"/>
          <w:szCs w:val="22"/>
          <w:lang w:val="fr-LU"/>
        </w:rPr>
      </w:pPr>
      <w:r w:rsidRPr="00D4002C">
        <w:rPr>
          <w:rFonts w:ascii="Arial" w:hAnsi="Arial" w:cs="Arial"/>
          <w:sz w:val="22"/>
          <w:szCs w:val="22"/>
          <w:lang w:val="fr-LU"/>
        </w:rPr>
        <w:t>Le compte général de l’exercice 2017 affiche un excédent de recettes de 1.352,83 millions d’euros, alors que le budget voté a tablé sur un excédent de dépenses de 850,97 millions d’euros.</w:t>
      </w:r>
    </w:p>
    <w:p w:rsidR="0083188E" w:rsidRPr="00D4002C" w:rsidRDefault="0083188E" w:rsidP="00D4002C">
      <w:pPr>
        <w:pStyle w:val="1TEXTE"/>
        <w:spacing w:after="0" w:line="240" w:lineRule="auto"/>
        <w:ind w:left="0" w:firstLine="0"/>
        <w:rPr>
          <w:rFonts w:ascii="Arial" w:hAnsi="Arial" w:cs="Arial"/>
          <w:sz w:val="22"/>
          <w:szCs w:val="22"/>
          <w:lang w:val="fr-LU"/>
        </w:rPr>
      </w:pPr>
    </w:p>
    <w:p w:rsidR="0083188E" w:rsidRPr="00D4002C" w:rsidRDefault="0083188E" w:rsidP="00D4002C">
      <w:pPr>
        <w:pStyle w:val="1TEXTE"/>
        <w:spacing w:after="0" w:line="240" w:lineRule="auto"/>
        <w:ind w:left="0" w:firstLine="0"/>
        <w:rPr>
          <w:rFonts w:ascii="Arial" w:hAnsi="Arial" w:cs="Arial"/>
          <w:i/>
          <w:sz w:val="22"/>
          <w:szCs w:val="22"/>
          <w:lang w:val="fr-LU"/>
        </w:rPr>
      </w:pPr>
      <w:r w:rsidRPr="00D4002C">
        <w:rPr>
          <w:rFonts w:ascii="Arial" w:hAnsi="Arial" w:cs="Arial"/>
          <w:sz w:val="22"/>
          <w:szCs w:val="22"/>
          <w:lang w:val="fr-LU"/>
        </w:rPr>
        <w:t>Cette différence de 2.203,80 millions d’euros s’explique essentiellement par la comptabilisation des produits et remboursements d’emprunts et prêts qui n’étaient pas prévus au budget voté de l’exercice 2017</w:t>
      </w:r>
      <w:r w:rsidR="00D4002C" w:rsidRPr="00D4002C">
        <w:rPr>
          <w:rFonts w:ascii="Arial" w:hAnsi="Arial" w:cs="Arial"/>
          <w:sz w:val="22"/>
          <w:szCs w:val="22"/>
          <w:lang w:val="fr-LU"/>
        </w:rPr>
        <w:t xml:space="preserve">. </w:t>
      </w:r>
    </w:p>
    <w:p w:rsidR="0083188E" w:rsidRPr="00D4002C" w:rsidRDefault="0083188E" w:rsidP="00D4002C">
      <w:pPr>
        <w:pStyle w:val="1TEXTE"/>
        <w:spacing w:after="0" w:line="240" w:lineRule="auto"/>
        <w:ind w:left="0" w:firstLine="0"/>
        <w:rPr>
          <w:rFonts w:ascii="Arial" w:hAnsi="Arial" w:cs="Arial"/>
          <w:i/>
          <w:sz w:val="22"/>
          <w:szCs w:val="22"/>
          <w:lang w:val="fr-LU"/>
        </w:rPr>
      </w:pPr>
    </w:p>
    <w:p w:rsidR="0083188E" w:rsidRPr="00D4002C" w:rsidRDefault="0083188E" w:rsidP="00D4002C">
      <w:pPr>
        <w:pStyle w:val="1TEXTE"/>
        <w:spacing w:after="0" w:line="240" w:lineRule="auto"/>
        <w:ind w:left="0" w:firstLine="0"/>
        <w:rPr>
          <w:rFonts w:ascii="Arial" w:hAnsi="Arial" w:cs="Arial"/>
          <w:lang w:val="fr-LU"/>
        </w:rPr>
      </w:pPr>
      <w:r w:rsidRPr="00D4002C">
        <w:rPr>
          <w:rFonts w:ascii="Arial" w:hAnsi="Arial" w:cs="Arial"/>
          <w:sz w:val="22"/>
          <w:szCs w:val="22"/>
          <w:lang w:val="fr-LU"/>
        </w:rPr>
        <w:t>Le tableau ci-dessous présente l’exécution du budget de l’exercice 2017 en faisant abstraction de ces opérations en lien avec les emprunts et les prêts.</w:t>
      </w:r>
    </w:p>
    <w:p w:rsidR="0083188E" w:rsidRPr="00D4002C" w:rsidRDefault="0083188E" w:rsidP="00D4002C">
      <w:pPr>
        <w:pStyle w:val="1TEXTE"/>
        <w:spacing w:after="0" w:line="240" w:lineRule="auto"/>
        <w:ind w:left="0" w:firstLine="0"/>
        <w:rPr>
          <w:rFonts w:ascii="Arial" w:hAnsi="Arial" w:cs="Arial"/>
          <w:lang w:val="fr-LU"/>
        </w:rPr>
      </w:pPr>
    </w:p>
    <w:p w:rsidR="0083188E" w:rsidRPr="00D4002C" w:rsidRDefault="0083188E" w:rsidP="00D4002C">
      <w:pPr>
        <w:pStyle w:val="1TitreTableaugrand"/>
        <w:spacing w:line="240" w:lineRule="auto"/>
        <w:ind w:firstLine="0"/>
        <w:rPr>
          <w:rFonts w:ascii="Arial" w:hAnsi="Arial" w:cs="Arial"/>
          <w:sz w:val="20"/>
          <w:szCs w:val="20"/>
          <w:lang w:val="fr-LU"/>
        </w:rPr>
      </w:pPr>
      <w:r w:rsidRPr="00D4002C">
        <w:rPr>
          <w:rFonts w:ascii="Arial" w:hAnsi="Arial" w:cs="Arial"/>
          <w:sz w:val="20"/>
          <w:szCs w:val="20"/>
          <w:lang w:val="fr-LU"/>
        </w:rPr>
        <w:t>Tableau : Budget et compte 2017 (hors opération d’emprunts)</w:t>
      </w:r>
    </w:p>
    <w:tbl>
      <w:tblPr>
        <w:tblW w:w="8595" w:type="dxa"/>
        <w:tblInd w:w="567"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9"/>
        <w:gridCol w:w="1984"/>
        <w:gridCol w:w="1983"/>
        <w:gridCol w:w="2019"/>
        <w:gridCol w:w="910"/>
      </w:tblGrid>
      <w:tr w:rsidR="0083188E" w:rsidRPr="00D4002C" w:rsidTr="0083188E">
        <w:trPr>
          <w:cantSplit/>
        </w:trPr>
        <w:tc>
          <w:tcPr>
            <w:tcW w:w="1701"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tcPr>
          <w:p w:rsidR="0083188E" w:rsidRPr="00D4002C" w:rsidRDefault="0083188E" w:rsidP="00D4002C">
            <w:pPr>
              <w:spacing w:line="240" w:lineRule="auto"/>
              <w:rPr>
                <w:rFonts w:ascii="Arial" w:hAnsi="Arial" w:cs="Arial"/>
                <w:sz w:val="20"/>
                <w:szCs w:val="20"/>
                <w:lang w:val="fr-FR"/>
              </w:rPr>
            </w:pPr>
          </w:p>
        </w:tc>
        <w:tc>
          <w:tcPr>
            <w:tcW w:w="1985"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sz w:val="20"/>
                <w:szCs w:val="20"/>
              </w:rPr>
            </w:pPr>
            <w:r w:rsidRPr="00D4002C">
              <w:rPr>
                <w:rFonts w:ascii="Arial" w:hAnsi="Arial" w:cs="Arial"/>
                <w:b/>
                <w:bCs/>
                <w:sz w:val="20"/>
                <w:szCs w:val="20"/>
              </w:rPr>
              <w:t>Budget voté</w:t>
            </w:r>
            <w:r w:rsidRPr="00D4002C">
              <w:rPr>
                <w:rFonts w:ascii="Arial" w:hAnsi="Arial" w:cs="Arial"/>
                <w:b/>
                <w:bCs/>
                <w:sz w:val="20"/>
                <w:szCs w:val="20"/>
              </w:rPr>
              <w:br/>
              <w:t>2017</w:t>
            </w:r>
          </w:p>
        </w:tc>
        <w:tc>
          <w:tcPr>
            <w:tcW w:w="1984"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sz w:val="20"/>
                <w:szCs w:val="20"/>
              </w:rPr>
            </w:pPr>
            <w:r w:rsidRPr="00D4002C">
              <w:rPr>
                <w:rFonts w:ascii="Arial" w:hAnsi="Arial" w:cs="Arial"/>
                <w:b/>
                <w:bCs/>
                <w:sz w:val="20"/>
                <w:szCs w:val="20"/>
              </w:rPr>
              <w:t>Compte général</w:t>
            </w:r>
            <w:r w:rsidRPr="00D4002C">
              <w:rPr>
                <w:rFonts w:ascii="Arial" w:hAnsi="Arial" w:cs="Arial"/>
                <w:b/>
                <w:bCs/>
                <w:sz w:val="20"/>
                <w:szCs w:val="20"/>
              </w:rPr>
              <w:br/>
              <w:t>2017</w:t>
            </w:r>
          </w:p>
        </w:tc>
        <w:tc>
          <w:tcPr>
            <w:tcW w:w="2930" w:type="dxa"/>
            <w:gridSpan w:val="2"/>
            <w:tcBorders>
              <w:top w:val="nil"/>
              <w:left w:val="single" w:sz="4" w:space="0" w:color="auto"/>
              <w:bottom w:val="single" w:sz="4" w:space="0" w:color="auto"/>
              <w:right w:val="nil"/>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sz w:val="20"/>
                <w:szCs w:val="20"/>
              </w:rPr>
            </w:pPr>
            <w:r w:rsidRPr="00D4002C">
              <w:rPr>
                <w:rFonts w:ascii="Arial" w:hAnsi="Arial" w:cs="Arial"/>
                <w:b/>
                <w:bCs/>
                <w:sz w:val="20"/>
                <w:szCs w:val="20"/>
              </w:rPr>
              <w:t>Variation</w:t>
            </w:r>
          </w:p>
        </w:tc>
      </w:tr>
      <w:tr w:rsidR="0083188E" w:rsidRPr="00D4002C" w:rsidTr="0083188E">
        <w:trPr>
          <w:cantSplit/>
        </w:trPr>
        <w:tc>
          <w:tcPr>
            <w:tcW w:w="1701" w:type="dxa"/>
            <w:vMerge/>
            <w:tcBorders>
              <w:top w:val="nil"/>
              <w:left w:val="nil"/>
              <w:bottom w:val="single" w:sz="4" w:space="0" w:color="auto"/>
              <w:right w:val="single" w:sz="4" w:space="0" w:color="auto"/>
            </w:tcBorders>
            <w:vAlign w:val="center"/>
            <w:hideMark/>
          </w:tcPr>
          <w:p w:rsidR="0083188E" w:rsidRPr="00D4002C" w:rsidRDefault="0083188E" w:rsidP="00D4002C">
            <w:pPr>
              <w:spacing w:line="240" w:lineRule="auto"/>
              <w:rPr>
                <w:rFonts w:ascii="Arial" w:hAnsi="Arial" w:cs="Arial"/>
                <w:sz w:val="20"/>
                <w:szCs w:val="20"/>
                <w:lang w:val="fr-FR" w:eastAsia="fr-FR"/>
              </w:rPr>
            </w:pPr>
          </w:p>
        </w:tc>
        <w:tc>
          <w:tcPr>
            <w:tcW w:w="1985" w:type="dxa"/>
            <w:vMerge/>
            <w:tcBorders>
              <w:top w:val="nil"/>
              <w:left w:val="single" w:sz="4" w:space="0" w:color="auto"/>
              <w:bottom w:val="single" w:sz="4" w:space="0" w:color="auto"/>
              <w:right w:val="single" w:sz="4" w:space="0" w:color="auto"/>
            </w:tcBorders>
            <w:vAlign w:val="center"/>
            <w:hideMark/>
          </w:tcPr>
          <w:p w:rsidR="0083188E" w:rsidRPr="00D4002C" w:rsidRDefault="0083188E" w:rsidP="00D4002C">
            <w:pPr>
              <w:spacing w:line="240" w:lineRule="auto"/>
              <w:rPr>
                <w:rFonts w:ascii="Arial" w:hAnsi="Arial" w:cs="Arial"/>
                <w:sz w:val="20"/>
                <w:szCs w:val="20"/>
                <w:lang w:val="fr-FR" w:eastAsia="fr-FR"/>
              </w:rPr>
            </w:pPr>
          </w:p>
        </w:tc>
        <w:tc>
          <w:tcPr>
            <w:tcW w:w="1984" w:type="dxa"/>
            <w:vMerge/>
            <w:tcBorders>
              <w:top w:val="nil"/>
              <w:left w:val="single" w:sz="4" w:space="0" w:color="auto"/>
              <w:bottom w:val="single" w:sz="4" w:space="0" w:color="auto"/>
              <w:right w:val="single" w:sz="4" w:space="0" w:color="auto"/>
            </w:tcBorders>
            <w:vAlign w:val="center"/>
            <w:hideMark/>
          </w:tcPr>
          <w:p w:rsidR="0083188E" w:rsidRPr="00D4002C" w:rsidRDefault="0083188E" w:rsidP="00D4002C">
            <w:pPr>
              <w:spacing w:line="240" w:lineRule="auto"/>
              <w:rPr>
                <w:rFonts w:ascii="Arial" w:hAnsi="Arial" w:cs="Arial"/>
                <w:sz w:val="20"/>
                <w:szCs w:val="20"/>
                <w:lang w:val="fr-FR" w:eastAsia="fr-FR"/>
              </w:rPr>
            </w:pP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188E" w:rsidRPr="00D4002C" w:rsidRDefault="0083188E" w:rsidP="00D4002C">
            <w:pPr>
              <w:spacing w:line="240" w:lineRule="auto"/>
              <w:jc w:val="center"/>
              <w:rPr>
                <w:rFonts w:ascii="Arial" w:hAnsi="Arial" w:cs="Arial"/>
                <w:b/>
                <w:bCs/>
                <w:sz w:val="20"/>
                <w:szCs w:val="20"/>
              </w:rPr>
            </w:pPr>
            <w:r w:rsidRPr="00D4002C">
              <w:rPr>
                <w:rFonts w:ascii="Arial" w:hAnsi="Arial" w:cs="Arial"/>
                <w:b/>
                <w:bCs/>
                <w:sz w:val="20"/>
                <w:szCs w:val="20"/>
              </w:rPr>
              <w:t>en valeur</w:t>
            </w:r>
          </w:p>
        </w:tc>
        <w:tc>
          <w:tcPr>
            <w:tcW w:w="910" w:type="dxa"/>
            <w:tcBorders>
              <w:top w:val="single" w:sz="4" w:space="0" w:color="auto"/>
              <w:left w:val="single" w:sz="4" w:space="0" w:color="auto"/>
              <w:bottom w:val="single" w:sz="4" w:space="0" w:color="auto"/>
              <w:right w:val="nil"/>
            </w:tcBorders>
            <w:vAlign w:val="center"/>
            <w:hideMark/>
          </w:tcPr>
          <w:p w:rsidR="0083188E" w:rsidRPr="00D4002C" w:rsidRDefault="0083188E" w:rsidP="00D4002C">
            <w:pPr>
              <w:spacing w:line="240" w:lineRule="auto"/>
              <w:jc w:val="center"/>
              <w:rPr>
                <w:rFonts w:ascii="Arial" w:hAnsi="Arial" w:cs="Arial"/>
                <w:b/>
                <w:bCs/>
                <w:sz w:val="20"/>
                <w:szCs w:val="20"/>
              </w:rPr>
            </w:pPr>
            <w:r w:rsidRPr="00D4002C">
              <w:rPr>
                <w:rFonts w:ascii="Arial" w:hAnsi="Arial" w:cs="Arial"/>
                <w:b/>
                <w:bCs/>
                <w:sz w:val="20"/>
                <w:szCs w:val="20"/>
              </w:rPr>
              <w:t>en %</w:t>
            </w:r>
          </w:p>
        </w:tc>
      </w:tr>
      <w:tr w:rsidR="0083188E" w:rsidRPr="00D4002C" w:rsidTr="0083188E">
        <w:trPr>
          <w:cantSplit/>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20"/>
                <w:szCs w:val="20"/>
              </w:rPr>
            </w:pPr>
            <w:r w:rsidRPr="00D4002C">
              <w:rPr>
                <w:rFonts w:ascii="Arial" w:hAnsi="Arial" w:cs="Arial"/>
                <w:sz w:val="20"/>
                <w:szCs w:val="20"/>
              </w:rPr>
              <w:t>Recettes</w:t>
            </w:r>
            <w:r w:rsidRPr="00D4002C">
              <w:rPr>
                <w:rFonts w:ascii="Arial" w:hAnsi="Arial" w:cs="Arial"/>
                <w:sz w:val="20"/>
                <w:szCs w:val="20"/>
              </w:rPr>
              <w:br/>
              <w:t>- courantes</w:t>
            </w:r>
            <w:r w:rsidRPr="00D4002C">
              <w:rPr>
                <w:rFonts w:ascii="Arial" w:hAnsi="Arial" w:cs="Arial"/>
                <w:sz w:val="20"/>
                <w:szCs w:val="20"/>
              </w:rPr>
              <w:br/>
              <w:t>- en capital</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20"/>
                <w:szCs w:val="20"/>
              </w:rPr>
            </w:pPr>
            <w:r w:rsidRPr="00D4002C">
              <w:rPr>
                <w:rFonts w:ascii="Arial" w:hAnsi="Arial" w:cs="Arial"/>
                <w:sz w:val="20"/>
                <w:szCs w:val="20"/>
              </w:rPr>
              <w:br/>
              <w:t>13.153.654.513,00</w:t>
            </w:r>
            <w:r w:rsidRPr="00D4002C">
              <w:rPr>
                <w:rFonts w:ascii="Arial" w:hAnsi="Arial" w:cs="Arial"/>
                <w:sz w:val="20"/>
                <w:szCs w:val="20"/>
              </w:rPr>
              <w:br/>
              <w:t>90.244.900,00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20"/>
                <w:szCs w:val="20"/>
              </w:rPr>
            </w:pPr>
            <w:r w:rsidRPr="00D4002C">
              <w:rPr>
                <w:rFonts w:ascii="Arial" w:hAnsi="Arial" w:cs="Arial"/>
                <w:sz w:val="20"/>
                <w:szCs w:val="20"/>
              </w:rPr>
              <w:br/>
              <w:t>13.688.844.994,43</w:t>
            </w:r>
            <w:r w:rsidRPr="00D4002C">
              <w:rPr>
                <w:rFonts w:ascii="Arial" w:hAnsi="Arial" w:cs="Arial"/>
                <w:sz w:val="20"/>
                <w:szCs w:val="20"/>
              </w:rPr>
              <w:br/>
              <w:t>161.004.179,47</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20"/>
                <w:szCs w:val="20"/>
              </w:rPr>
            </w:pPr>
            <w:r w:rsidRPr="00D4002C">
              <w:rPr>
                <w:rFonts w:ascii="Arial" w:hAnsi="Arial" w:cs="Arial"/>
                <w:sz w:val="20"/>
                <w:szCs w:val="20"/>
              </w:rPr>
              <w:br/>
              <w:t>535.190.481,43</w:t>
            </w:r>
            <w:r w:rsidRPr="00D4002C">
              <w:rPr>
                <w:rFonts w:ascii="Arial" w:hAnsi="Arial" w:cs="Arial"/>
                <w:sz w:val="20"/>
                <w:szCs w:val="20"/>
              </w:rPr>
              <w:br/>
              <w:t>70.759.279,47</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20"/>
                <w:szCs w:val="20"/>
              </w:rPr>
            </w:pPr>
            <w:r w:rsidRPr="00D4002C">
              <w:rPr>
                <w:rFonts w:ascii="Arial" w:hAnsi="Arial" w:cs="Arial"/>
                <w:sz w:val="20"/>
                <w:szCs w:val="20"/>
              </w:rPr>
              <w:br/>
              <w:t>4,07%</w:t>
            </w:r>
            <w:r w:rsidRPr="00D4002C">
              <w:rPr>
                <w:rFonts w:ascii="Arial" w:hAnsi="Arial" w:cs="Arial"/>
                <w:sz w:val="20"/>
                <w:szCs w:val="20"/>
              </w:rPr>
              <w:br/>
              <w:t>78,41%</w:t>
            </w:r>
          </w:p>
        </w:tc>
      </w:tr>
      <w:tr w:rsidR="0083188E" w:rsidRPr="00D4002C" w:rsidTr="0083188E">
        <w:trPr>
          <w:cantSplit/>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20"/>
                <w:szCs w:val="20"/>
              </w:rPr>
            </w:pPr>
            <w:r w:rsidRPr="00D4002C">
              <w:rPr>
                <w:rFonts w:ascii="Arial" w:hAnsi="Arial" w:cs="Arial"/>
                <w:sz w:val="20"/>
                <w:szCs w:val="20"/>
              </w:rPr>
              <w:t>Total recettes (1)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20"/>
                <w:szCs w:val="20"/>
              </w:rPr>
            </w:pPr>
            <w:r w:rsidRPr="00D4002C">
              <w:rPr>
                <w:rFonts w:ascii="Arial" w:hAnsi="Arial" w:cs="Arial"/>
                <w:sz w:val="20"/>
                <w:szCs w:val="20"/>
              </w:rPr>
              <w:t>13.243.899.413,00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20"/>
                <w:szCs w:val="20"/>
              </w:rPr>
            </w:pPr>
            <w:r w:rsidRPr="00D4002C">
              <w:rPr>
                <w:rFonts w:ascii="Arial" w:hAnsi="Arial" w:cs="Arial"/>
                <w:sz w:val="20"/>
                <w:szCs w:val="20"/>
              </w:rPr>
              <w:t>13.849.849.173,90</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20"/>
                <w:szCs w:val="20"/>
              </w:rPr>
            </w:pPr>
            <w:r w:rsidRPr="00D4002C">
              <w:rPr>
                <w:rFonts w:ascii="Arial" w:hAnsi="Arial" w:cs="Arial"/>
                <w:sz w:val="20"/>
                <w:szCs w:val="20"/>
              </w:rPr>
              <w:t>605.949.760,90</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20"/>
                <w:szCs w:val="20"/>
              </w:rPr>
            </w:pPr>
            <w:r w:rsidRPr="00D4002C">
              <w:rPr>
                <w:rFonts w:ascii="Arial" w:hAnsi="Arial" w:cs="Arial"/>
                <w:sz w:val="20"/>
                <w:szCs w:val="20"/>
              </w:rPr>
              <w:t>4,58%</w:t>
            </w:r>
          </w:p>
        </w:tc>
      </w:tr>
      <w:tr w:rsidR="0083188E" w:rsidRPr="00D4002C" w:rsidTr="0083188E">
        <w:trPr>
          <w:cantSplit/>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20"/>
                <w:szCs w:val="20"/>
              </w:rPr>
            </w:pPr>
            <w:r w:rsidRPr="00D4002C">
              <w:rPr>
                <w:rFonts w:ascii="Arial" w:hAnsi="Arial" w:cs="Arial"/>
                <w:sz w:val="20"/>
                <w:szCs w:val="20"/>
              </w:rPr>
              <w:t>Dépenses</w:t>
            </w:r>
            <w:r w:rsidRPr="00D4002C">
              <w:rPr>
                <w:rFonts w:ascii="Arial" w:hAnsi="Arial" w:cs="Arial"/>
                <w:sz w:val="20"/>
                <w:szCs w:val="20"/>
              </w:rPr>
              <w:br/>
              <w:t>- courantes</w:t>
            </w:r>
            <w:r w:rsidRPr="00D4002C">
              <w:rPr>
                <w:rFonts w:ascii="Arial" w:hAnsi="Arial" w:cs="Arial"/>
                <w:sz w:val="20"/>
                <w:szCs w:val="20"/>
              </w:rPr>
              <w:br/>
              <w:t>- en capital</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20"/>
                <w:szCs w:val="20"/>
              </w:rPr>
            </w:pPr>
            <w:r w:rsidRPr="00D4002C">
              <w:rPr>
                <w:rFonts w:ascii="Arial" w:hAnsi="Arial" w:cs="Arial"/>
                <w:sz w:val="20"/>
                <w:szCs w:val="20"/>
              </w:rPr>
              <w:br/>
              <w:t>12.701.039.724,00</w:t>
            </w:r>
            <w:r w:rsidRPr="00D4002C">
              <w:rPr>
                <w:rFonts w:ascii="Arial" w:hAnsi="Arial" w:cs="Arial"/>
                <w:sz w:val="20"/>
                <w:szCs w:val="20"/>
              </w:rPr>
              <w:br/>
              <w:t>1.393.831.794,00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20"/>
                <w:szCs w:val="20"/>
              </w:rPr>
            </w:pPr>
            <w:r w:rsidRPr="00D4002C">
              <w:rPr>
                <w:rFonts w:ascii="Arial" w:hAnsi="Arial" w:cs="Arial"/>
                <w:sz w:val="20"/>
                <w:szCs w:val="20"/>
              </w:rPr>
              <w:br/>
              <w:t>12.798.233.758,59</w:t>
            </w:r>
            <w:r w:rsidRPr="00D4002C">
              <w:rPr>
                <w:rFonts w:ascii="Arial" w:hAnsi="Arial" w:cs="Arial"/>
                <w:sz w:val="20"/>
                <w:szCs w:val="20"/>
              </w:rPr>
              <w:br/>
              <w:t>1.344.689.635,32</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20"/>
                <w:szCs w:val="20"/>
              </w:rPr>
            </w:pPr>
            <w:r w:rsidRPr="00D4002C">
              <w:rPr>
                <w:rFonts w:ascii="Arial" w:hAnsi="Arial" w:cs="Arial"/>
                <w:sz w:val="20"/>
                <w:szCs w:val="20"/>
              </w:rPr>
              <w:br/>
              <w:t>97.194.034,59</w:t>
            </w:r>
            <w:r w:rsidRPr="00D4002C">
              <w:rPr>
                <w:rFonts w:ascii="Arial" w:hAnsi="Arial" w:cs="Arial"/>
                <w:sz w:val="20"/>
                <w:szCs w:val="20"/>
              </w:rPr>
              <w:br/>
              <w:t>-49.142.158,68</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20"/>
                <w:szCs w:val="20"/>
              </w:rPr>
            </w:pPr>
            <w:r w:rsidRPr="00D4002C">
              <w:rPr>
                <w:rFonts w:ascii="Arial" w:hAnsi="Arial" w:cs="Arial"/>
                <w:sz w:val="20"/>
                <w:szCs w:val="20"/>
              </w:rPr>
              <w:br/>
              <w:t>0,77%</w:t>
            </w:r>
            <w:r w:rsidRPr="00D4002C">
              <w:rPr>
                <w:rFonts w:ascii="Arial" w:hAnsi="Arial" w:cs="Arial"/>
                <w:sz w:val="20"/>
                <w:szCs w:val="20"/>
              </w:rPr>
              <w:br/>
              <w:t>-3,53%</w:t>
            </w:r>
          </w:p>
        </w:tc>
      </w:tr>
      <w:tr w:rsidR="0083188E" w:rsidRPr="00D4002C" w:rsidTr="0083188E">
        <w:trPr>
          <w:cantSplit/>
          <w:trHeight w:val="275"/>
        </w:trPr>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20"/>
                <w:szCs w:val="20"/>
              </w:rPr>
            </w:pPr>
            <w:r w:rsidRPr="00D4002C">
              <w:rPr>
                <w:rFonts w:ascii="Arial" w:hAnsi="Arial" w:cs="Arial"/>
                <w:sz w:val="20"/>
                <w:szCs w:val="20"/>
              </w:rPr>
              <w:t>Total dépenses (2)</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2"/>
              </w:tabs>
              <w:spacing w:line="240" w:lineRule="auto"/>
              <w:jc w:val="right"/>
              <w:rPr>
                <w:rFonts w:ascii="Arial" w:hAnsi="Arial" w:cs="Arial"/>
                <w:sz w:val="20"/>
                <w:szCs w:val="20"/>
              </w:rPr>
            </w:pPr>
            <w:r w:rsidRPr="00D4002C">
              <w:rPr>
                <w:rFonts w:ascii="Arial" w:hAnsi="Arial" w:cs="Arial"/>
                <w:sz w:val="20"/>
                <w:szCs w:val="20"/>
              </w:rPr>
              <w:t>14.094.871.518,00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451"/>
              </w:tabs>
              <w:spacing w:line="240" w:lineRule="auto"/>
              <w:jc w:val="right"/>
              <w:rPr>
                <w:rFonts w:ascii="Arial" w:hAnsi="Arial" w:cs="Arial"/>
                <w:sz w:val="20"/>
                <w:szCs w:val="20"/>
              </w:rPr>
            </w:pPr>
            <w:r w:rsidRPr="00D4002C">
              <w:rPr>
                <w:rFonts w:ascii="Arial" w:hAnsi="Arial" w:cs="Arial"/>
                <w:sz w:val="20"/>
                <w:szCs w:val="20"/>
              </w:rPr>
              <w:t>14.142.923.393,91</w:t>
            </w:r>
          </w:p>
        </w:tc>
        <w:tc>
          <w:tcPr>
            <w:tcW w:w="2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188E" w:rsidRPr="00D4002C" w:rsidRDefault="0083188E" w:rsidP="00D4002C">
            <w:pPr>
              <w:tabs>
                <w:tab w:val="decimal" w:pos="1281"/>
              </w:tabs>
              <w:spacing w:line="240" w:lineRule="auto"/>
              <w:jc w:val="right"/>
              <w:rPr>
                <w:rFonts w:ascii="Arial" w:hAnsi="Arial" w:cs="Arial"/>
                <w:sz w:val="20"/>
                <w:szCs w:val="20"/>
              </w:rPr>
            </w:pPr>
            <w:r w:rsidRPr="00D4002C">
              <w:rPr>
                <w:rFonts w:ascii="Arial" w:hAnsi="Arial" w:cs="Arial"/>
                <w:sz w:val="20"/>
                <w:szCs w:val="20"/>
              </w:rPr>
              <w:t>48.051.875,91</w:t>
            </w:r>
          </w:p>
        </w:tc>
        <w:tc>
          <w:tcPr>
            <w:tcW w:w="910"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83188E" w:rsidRPr="00D4002C" w:rsidRDefault="0083188E" w:rsidP="00D4002C">
            <w:pPr>
              <w:tabs>
                <w:tab w:val="decimal" w:pos="562"/>
              </w:tabs>
              <w:spacing w:line="240" w:lineRule="auto"/>
              <w:jc w:val="right"/>
              <w:rPr>
                <w:rFonts w:ascii="Arial" w:hAnsi="Arial" w:cs="Arial"/>
                <w:sz w:val="20"/>
                <w:szCs w:val="20"/>
              </w:rPr>
            </w:pPr>
            <w:r w:rsidRPr="00D4002C">
              <w:rPr>
                <w:rFonts w:ascii="Arial" w:hAnsi="Arial" w:cs="Arial"/>
                <w:sz w:val="20"/>
                <w:szCs w:val="20"/>
              </w:rPr>
              <w:t>0,34%</w:t>
            </w:r>
          </w:p>
        </w:tc>
      </w:tr>
      <w:tr w:rsidR="0083188E" w:rsidRPr="00D4002C" w:rsidTr="0083188E">
        <w:trPr>
          <w:cantSplit/>
        </w:trPr>
        <w:tc>
          <w:tcPr>
            <w:tcW w:w="1701" w:type="dxa"/>
            <w:tcBorders>
              <w:top w:val="single" w:sz="4" w:space="0" w:color="auto"/>
              <w:left w:val="nil"/>
              <w:bottom w:val="nil"/>
              <w:right w:val="single" w:sz="4" w:space="0" w:color="auto"/>
            </w:tcBorders>
            <w:tcMar>
              <w:top w:w="0" w:type="dxa"/>
              <w:left w:w="108" w:type="dxa"/>
              <w:bottom w:w="0" w:type="dxa"/>
              <w:right w:w="108" w:type="dxa"/>
            </w:tcMar>
            <w:hideMark/>
          </w:tcPr>
          <w:p w:rsidR="0083188E" w:rsidRPr="00D4002C" w:rsidRDefault="0083188E" w:rsidP="00D4002C">
            <w:pPr>
              <w:spacing w:line="240" w:lineRule="auto"/>
              <w:rPr>
                <w:rFonts w:ascii="Arial" w:hAnsi="Arial" w:cs="Arial"/>
                <w:sz w:val="20"/>
                <w:szCs w:val="20"/>
              </w:rPr>
            </w:pPr>
            <w:r w:rsidRPr="00D4002C">
              <w:rPr>
                <w:rFonts w:ascii="Arial" w:hAnsi="Arial" w:cs="Arial"/>
                <w:sz w:val="20"/>
                <w:szCs w:val="20"/>
              </w:rPr>
              <w:t xml:space="preserve">Excédent de </w:t>
            </w:r>
            <w:r w:rsidRPr="00D4002C">
              <w:rPr>
                <w:rFonts w:ascii="Arial" w:hAnsi="Arial" w:cs="Arial"/>
                <w:sz w:val="20"/>
                <w:szCs w:val="20"/>
              </w:rPr>
              <w:br/>
              <w:t>recettes (1) - (2)</w:t>
            </w:r>
          </w:p>
        </w:tc>
        <w:tc>
          <w:tcPr>
            <w:tcW w:w="198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bottom"/>
            <w:hideMark/>
          </w:tcPr>
          <w:p w:rsidR="0083188E" w:rsidRPr="00D4002C" w:rsidRDefault="0083188E" w:rsidP="00D4002C">
            <w:pPr>
              <w:tabs>
                <w:tab w:val="decimal" w:pos="1452"/>
              </w:tabs>
              <w:spacing w:line="240" w:lineRule="auto"/>
              <w:jc w:val="right"/>
              <w:rPr>
                <w:rFonts w:ascii="Arial" w:hAnsi="Arial" w:cs="Arial"/>
                <w:sz w:val="20"/>
                <w:szCs w:val="20"/>
              </w:rPr>
            </w:pPr>
            <w:r w:rsidRPr="00D4002C">
              <w:rPr>
                <w:rFonts w:ascii="Arial" w:hAnsi="Arial" w:cs="Arial"/>
                <w:sz w:val="20"/>
                <w:szCs w:val="20"/>
              </w:rPr>
              <w:t>-850.972.105,00</w:t>
            </w:r>
          </w:p>
        </w:tc>
        <w:tc>
          <w:tcPr>
            <w:tcW w:w="1984" w:type="dxa"/>
            <w:tcBorders>
              <w:top w:val="single" w:sz="4" w:space="0" w:color="auto"/>
              <w:left w:val="single" w:sz="4" w:space="0" w:color="auto"/>
              <w:bottom w:val="nil"/>
              <w:right w:val="single" w:sz="4" w:space="0" w:color="auto"/>
            </w:tcBorders>
            <w:tcMar>
              <w:top w:w="0" w:type="dxa"/>
              <w:left w:w="108" w:type="dxa"/>
              <w:bottom w:w="0" w:type="dxa"/>
              <w:right w:w="108" w:type="dxa"/>
            </w:tcMar>
            <w:vAlign w:val="bottom"/>
            <w:hideMark/>
          </w:tcPr>
          <w:p w:rsidR="0083188E" w:rsidRPr="00D4002C" w:rsidRDefault="0083188E" w:rsidP="00D4002C">
            <w:pPr>
              <w:tabs>
                <w:tab w:val="decimal" w:pos="1451"/>
              </w:tabs>
              <w:spacing w:line="240" w:lineRule="auto"/>
              <w:jc w:val="right"/>
              <w:rPr>
                <w:rFonts w:ascii="Arial" w:hAnsi="Arial" w:cs="Arial"/>
                <w:sz w:val="20"/>
                <w:szCs w:val="20"/>
              </w:rPr>
            </w:pPr>
            <w:r w:rsidRPr="00D4002C">
              <w:rPr>
                <w:rFonts w:ascii="Arial" w:hAnsi="Arial" w:cs="Arial"/>
                <w:sz w:val="20"/>
                <w:szCs w:val="20"/>
              </w:rPr>
              <w:t>-293.074.220,01</w:t>
            </w:r>
          </w:p>
        </w:tc>
        <w:tc>
          <w:tcPr>
            <w:tcW w:w="2020" w:type="dxa"/>
            <w:tcBorders>
              <w:top w:val="single" w:sz="4" w:space="0" w:color="auto"/>
              <w:left w:val="single" w:sz="4" w:space="0" w:color="auto"/>
              <w:bottom w:val="nil"/>
              <w:right w:val="single" w:sz="4" w:space="0" w:color="auto"/>
            </w:tcBorders>
            <w:tcMar>
              <w:top w:w="0" w:type="dxa"/>
              <w:left w:w="108" w:type="dxa"/>
              <w:bottom w:w="0" w:type="dxa"/>
              <w:right w:w="108" w:type="dxa"/>
            </w:tcMar>
            <w:vAlign w:val="bottom"/>
            <w:hideMark/>
          </w:tcPr>
          <w:p w:rsidR="0083188E" w:rsidRPr="00D4002C" w:rsidRDefault="0083188E" w:rsidP="00D4002C">
            <w:pPr>
              <w:tabs>
                <w:tab w:val="decimal" w:pos="1281"/>
              </w:tabs>
              <w:spacing w:line="240" w:lineRule="auto"/>
              <w:jc w:val="right"/>
              <w:rPr>
                <w:rFonts w:ascii="Arial" w:hAnsi="Arial" w:cs="Arial"/>
                <w:sz w:val="20"/>
                <w:szCs w:val="20"/>
              </w:rPr>
            </w:pPr>
            <w:r w:rsidRPr="00D4002C">
              <w:rPr>
                <w:rFonts w:ascii="Arial" w:hAnsi="Arial" w:cs="Arial"/>
                <w:sz w:val="20"/>
                <w:szCs w:val="20"/>
              </w:rPr>
              <w:t>557.897.884,99</w:t>
            </w:r>
          </w:p>
        </w:tc>
        <w:tc>
          <w:tcPr>
            <w:tcW w:w="910" w:type="dxa"/>
            <w:tcBorders>
              <w:top w:val="single" w:sz="4" w:space="0" w:color="auto"/>
              <w:left w:val="single" w:sz="4" w:space="0" w:color="auto"/>
              <w:bottom w:val="nil"/>
              <w:right w:val="nil"/>
            </w:tcBorders>
            <w:tcMar>
              <w:top w:w="0" w:type="dxa"/>
              <w:left w:w="108" w:type="dxa"/>
              <w:bottom w:w="0" w:type="dxa"/>
              <w:right w:w="108" w:type="dxa"/>
            </w:tcMar>
            <w:vAlign w:val="bottom"/>
            <w:hideMark/>
          </w:tcPr>
          <w:p w:rsidR="0083188E" w:rsidRPr="00D4002C" w:rsidRDefault="0083188E" w:rsidP="00D4002C">
            <w:pPr>
              <w:tabs>
                <w:tab w:val="decimal" w:pos="562"/>
              </w:tabs>
              <w:spacing w:line="240" w:lineRule="auto"/>
              <w:jc w:val="right"/>
              <w:rPr>
                <w:rFonts w:ascii="Arial" w:hAnsi="Arial" w:cs="Arial"/>
                <w:sz w:val="20"/>
                <w:szCs w:val="20"/>
              </w:rPr>
            </w:pPr>
            <w:r w:rsidRPr="00D4002C">
              <w:rPr>
                <w:rFonts w:ascii="Arial" w:hAnsi="Arial" w:cs="Arial"/>
                <w:sz w:val="20"/>
                <w:szCs w:val="20"/>
              </w:rPr>
              <w:t> </w:t>
            </w:r>
          </w:p>
        </w:tc>
      </w:tr>
    </w:tbl>
    <w:p w:rsidR="0083188E" w:rsidRPr="00D4002C" w:rsidRDefault="0083188E" w:rsidP="00D4002C">
      <w:pPr>
        <w:tabs>
          <w:tab w:val="left" w:pos="4788"/>
          <w:tab w:val="left" w:pos="6468"/>
          <w:tab w:val="left" w:pos="8112"/>
        </w:tabs>
        <w:spacing w:line="240" w:lineRule="auto"/>
        <w:rPr>
          <w:rFonts w:ascii="Arial" w:hAnsi="Arial" w:cs="Arial"/>
          <w:i/>
          <w:sz w:val="20"/>
          <w:szCs w:val="20"/>
          <w:lang w:val="fr-FR" w:eastAsia="fr-FR"/>
        </w:rPr>
      </w:pPr>
    </w:p>
    <w:p w:rsidR="0083188E" w:rsidRPr="00D4002C" w:rsidRDefault="0083188E" w:rsidP="00D4002C">
      <w:pPr>
        <w:tabs>
          <w:tab w:val="left" w:pos="4788"/>
          <w:tab w:val="left" w:pos="6468"/>
          <w:tab w:val="left" w:pos="8112"/>
        </w:tabs>
        <w:spacing w:line="240" w:lineRule="auto"/>
        <w:rPr>
          <w:rFonts w:ascii="Arial" w:hAnsi="Arial" w:cs="Arial"/>
          <w:i/>
        </w:rPr>
      </w:pPr>
      <w:r w:rsidRPr="00D4002C">
        <w:rPr>
          <w:rFonts w:ascii="Arial" w:hAnsi="Arial" w:cs="Arial"/>
          <w:i/>
        </w:rPr>
        <w:t>Source chiffres : budget de l’Etat 2017, compte général 2017, tableau : Cour des comptes</w:t>
      </w:r>
    </w:p>
    <w:p w:rsidR="0083188E" w:rsidRPr="00D4002C" w:rsidRDefault="0083188E" w:rsidP="00D4002C">
      <w:pPr>
        <w:spacing w:line="240" w:lineRule="auto"/>
        <w:jc w:val="both"/>
        <w:rPr>
          <w:rFonts w:ascii="Arial" w:hAnsi="Arial" w:cs="Arial"/>
        </w:rPr>
      </w:pPr>
    </w:p>
    <w:p w:rsidR="0083188E" w:rsidRPr="00D4002C" w:rsidRDefault="0083188E" w:rsidP="00D4002C">
      <w:pPr>
        <w:pStyle w:val="1TEXTE"/>
        <w:spacing w:after="0" w:line="240" w:lineRule="auto"/>
        <w:ind w:left="0" w:firstLine="0"/>
        <w:rPr>
          <w:rFonts w:ascii="Arial" w:hAnsi="Arial" w:cs="Arial"/>
          <w:sz w:val="22"/>
          <w:szCs w:val="22"/>
          <w:lang w:val="fr-LU"/>
        </w:rPr>
      </w:pPr>
      <w:r w:rsidRPr="00D4002C">
        <w:rPr>
          <w:rFonts w:ascii="Arial" w:hAnsi="Arial" w:cs="Arial"/>
          <w:sz w:val="22"/>
          <w:szCs w:val="22"/>
          <w:lang w:val="fr-LU"/>
        </w:rPr>
        <w:t xml:space="preserve">Le compte général « corrigé » de l’exercice 2017 affiche un excédent de dépenses de 293,07 millions d’euros, alors que le budget voté a tablé sur un </w:t>
      </w:r>
      <w:r w:rsidRPr="00D4002C">
        <w:rPr>
          <w:rFonts w:ascii="Arial" w:hAnsi="Arial" w:cs="Arial"/>
          <w:b/>
          <w:sz w:val="22"/>
          <w:szCs w:val="22"/>
          <w:lang w:val="fr-LU"/>
        </w:rPr>
        <w:t>déficit de 850,97 millions</w:t>
      </w:r>
      <w:r w:rsidRPr="00D4002C">
        <w:rPr>
          <w:rFonts w:ascii="Arial" w:hAnsi="Arial" w:cs="Arial"/>
          <w:sz w:val="22"/>
          <w:szCs w:val="22"/>
          <w:lang w:val="fr-LU"/>
        </w:rPr>
        <w:t xml:space="preserve"> d’euros. La Cour des comptes observe que ce déficit constitue une amélioration de 557,90 millions d’euros par rapport au déficit inscrit au budget de 2017.</w:t>
      </w:r>
    </w:p>
    <w:p w:rsidR="0083188E" w:rsidRPr="00D4002C" w:rsidRDefault="0083188E" w:rsidP="00D4002C">
      <w:pPr>
        <w:pStyle w:val="1TEXTE"/>
        <w:spacing w:after="0" w:line="240" w:lineRule="auto"/>
        <w:ind w:left="0" w:firstLine="0"/>
        <w:rPr>
          <w:rFonts w:ascii="Arial" w:hAnsi="Arial" w:cs="Arial"/>
          <w:sz w:val="22"/>
          <w:szCs w:val="22"/>
          <w:lang w:val="fr-LU"/>
        </w:rPr>
      </w:pPr>
    </w:p>
    <w:p w:rsidR="0083188E" w:rsidRPr="00D4002C" w:rsidRDefault="0083188E" w:rsidP="00D4002C">
      <w:pPr>
        <w:pStyle w:val="1TEXTE"/>
        <w:spacing w:after="0" w:line="240" w:lineRule="auto"/>
        <w:ind w:left="0" w:firstLine="0"/>
        <w:rPr>
          <w:rFonts w:ascii="Arial" w:hAnsi="Arial" w:cs="Arial"/>
          <w:sz w:val="22"/>
          <w:szCs w:val="22"/>
          <w:lang w:val="fr-LU"/>
        </w:rPr>
      </w:pPr>
      <w:r w:rsidRPr="00D4002C">
        <w:rPr>
          <w:rFonts w:ascii="Arial" w:hAnsi="Arial" w:cs="Arial"/>
          <w:sz w:val="22"/>
          <w:szCs w:val="22"/>
          <w:lang w:val="fr-LU"/>
        </w:rPr>
        <w:t>Cette différence s’explique essentiellement par l’augmentation des recettes courantes qui passent de 13.153,65 millions d’euros à 13.688,84 millions d’euros.</w:t>
      </w:r>
    </w:p>
    <w:p w:rsidR="0083188E" w:rsidRPr="00D4002C" w:rsidRDefault="0083188E" w:rsidP="00D4002C">
      <w:pPr>
        <w:pStyle w:val="1TEXTE"/>
        <w:spacing w:after="0" w:line="240" w:lineRule="auto"/>
        <w:ind w:left="0" w:firstLine="0"/>
        <w:rPr>
          <w:rFonts w:ascii="Arial" w:hAnsi="Arial" w:cs="Arial"/>
          <w:sz w:val="22"/>
          <w:szCs w:val="22"/>
          <w:lang w:val="fr-LU"/>
        </w:rPr>
      </w:pPr>
    </w:p>
    <w:p w:rsidR="0083188E" w:rsidRPr="00D4002C" w:rsidRDefault="0083188E" w:rsidP="00D4002C">
      <w:pPr>
        <w:spacing w:line="240" w:lineRule="auto"/>
        <w:jc w:val="center"/>
        <w:rPr>
          <w:rFonts w:ascii="Arial" w:hAnsi="Arial" w:cs="Arial"/>
        </w:rPr>
      </w:pPr>
      <w:r w:rsidRPr="00D4002C">
        <w:rPr>
          <w:rFonts w:ascii="Arial" w:hAnsi="Arial" w:cs="Arial"/>
        </w:rPr>
        <w:t>Recettes du budget de l’exercice 2017</w:t>
      </w:r>
    </w:p>
    <w:p w:rsidR="0083188E" w:rsidRPr="00D4002C" w:rsidRDefault="0083188E" w:rsidP="00D4002C">
      <w:pPr>
        <w:spacing w:line="240" w:lineRule="auto"/>
        <w:jc w:val="both"/>
        <w:rPr>
          <w:rFonts w:ascii="Arial" w:hAnsi="Arial" w:cs="Arial"/>
          <w:lang w:val="fr-FR"/>
        </w:rPr>
      </w:pPr>
      <w:r w:rsidRPr="00D4002C">
        <w:rPr>
          <w:rFonts w:ascii="Arial" w:hAnsi="Arial" w:cs="Arial"/>
        </w:rPr>
        <w:t xml:space="preserve">Le compte général pour l’exercice 2017 renseigne des </w:t>
      </w:r>
      <w:r w:rsidRPr="00D4002C">
        <w:rPr>
          <w:rFonts w:ascii="Arial" w:hAnsi="Arial" w:cs="Arial"/>
          <w:b/>
        </w:rPr>
        <w:t xml:space="preserve">recettes </w:t>
      </w:r>
      <w:r w:rsidRPr="00D4002C">
        <w:rPr>
          <w:rFonts w:ascii="Arial" w:hAnsi="Arial" w:cs="Arial"/>
          <w:u w:val="single"/>
        </w:rPr>
        <w:t>courantes</w:t>
      </w:r>
      <w:r w:rsidRPr="00D4002C">
        <w:rPr>
          <w:rFonts w:ascii="Arial" w:hAnsi="Arial" w:cs="Arial"/>
        </w:rPr>
        <w:t xml:space="preserve"> de 13.688,9 millions d’euros et des recettes </w:t>
      </w:r>
      <w:r w:rsidRPr="00D4002C">
        <w:rPr>
          <w:rFonts w:ascii="Arial" w:hAnsi="Arial" w:cs="Arial"/>
          <w:u w:val="single"/>
        </w:rPr>
        <w:t>en capital</w:t>
      </w:r>
      <w:r w:rsidRPr="00D4002C">
        <w:rPr>
          <w:rFonts w:ascii="Arial" w:hAnsi="Arial" w:cs="Arial"/>
        </w:rPr>
        <w:t xml:space="preserve"> de 1.938,9 millions d’euros, soit des recettes totales de 15.627,8 millions d’euros. Les recettes totales effectives dépassent la prévision du budget voté de 2.383,9 millions d’euros. Ce résultat est dû à l’imputation des produits d’emprunt en tant que recettes au budget en capital ainsi qu’à des plus-values importantes en matière de recettes fiscales.</w:t>
      </w:r>
    </w:p>
    <w:p w:rsidR="0083188E" w:rsidRPr="00D4002C" w:rsidRDefault="0083188E" w:rsidP="00D4002C">
      <w:pPr>
        <w:spacing w:line="240" w:lineRule="auto"/>
        <w:jc w:val="both"/>
        <w:rPr>
          <w:rFonts w:ascii="Arial" w:hAnsi="Arial" w:cs="Arial"/>
        </w:rPr>
      </w:pPr>
      <w:r w:rsidRPr="00D4002C">
        <w:rPr>
          <w:rFonts w:ascii="Arial" w:hAnsi="Arial" w:cs="Arial"/>
          <w:u w:val="single"/>
        </w:rPr>
        <w:t>En faisant abstraction du produit de l’emprunt obligataire contracté en 2017</w:t>
      </w:r>
      <w:r w:rsidRPr="00D4002C">
        <w:rPr>
          <w:rFonts w:ascii="Arial" w:hAnsi="Arial" w:cs="Arial"/>
        </w:rPr>
        <w:t>, les recettes totales effectives s’élèvent à 13.849,9 millions d’euros et elles dépassent la prévision budgétaire de 606,0 millions d’euros, soit une surperformance de 4,58%.</w:t>
      </w:r>
    </w:p>
    <w:p w:rsidR="0083188E" w:rsidRPr="00D4002C" w:rsidRDefault="0083188E" w:rsidP="00D4002C">
      <w:pPr>
        <w:spacing w:line="240" w:lineRule="auto"/>
        <w:jc w:val="center"/>
        <w:rPr>
          <w:rFonts w:ascii="Arial" w:hAnsi="Arial" w:cs="Arial"/>
          <w:b/>
          <w:sz w:val="24"/>
          <w:szCs w:val="24"/>
          <w:lang w:eastAsia="fr-LU"/>
        </w:rPr>
      </w:pPr>
    </w:p>
    <w:p w:rsidR="0083188E" w:rsidRPr="00D4002C" w:rsidRDefault="0083188E" w:rsidP="00D4002C">
      <w:pPr>
        <w:spacing w:line="240" w:lineRule="auto"/>
        <w:jc w:val="center"/>
        <w:rPr>
          <w:rFonts w:ascii="Arial" w:hAnsi="Arial" w:cs="Arial"/>
        </w:rPr>
      </w:pPr>
      <w:r w:rsidRPr="00D4002C">
        <w:rPr>
          <w:rFonts w:ascii="Arial" w:hAnsi="Arial" w:cs="Arial"/>
        </w:rPr>
        <w:t>Dépenses du budget de l’exercice 2017</w:t>
      </w:r>
    </w:p>
    <w:p w:rsidR="0083188E" w:rsidRPr="00D4002C" w:rsidRDefault="0083188E" w:rsidP="00D4002C">
      <w:pPr>
        <w:spacing w:line="240" w:lineRule="auto"/>
        <w:jc w:val="both"/>
        <w:rPr>
          <w:rFonts w:ascii="Arial" w:hAnsi="Arial" w:cs="Arial"/>
          <w:lang w:val="fr-FR" w:eastAsia="fr-FR"/>
        </w:rPr>
      </w:pPr>
      <w:r w:rsidRPr="00D4002C">
        <w:rPr>
          <w:rFonts w:ascii="Arial" w:hAnsi="Arial" w:cs="Arial"/>
        </w:rPr>
        <w:t xml:space="preserve">Le compte général pour l’exercice 2017 renseigne des </w:t>
      </w:r>
      <w:r w:rsidRPr="00D4002C">
        <w:rPr>
          <w:rFonts w:ascii="Arial" w:hAnsi="Arial" w:cs="Arial"/>
          <w:b/>
        </w:rPr>
        <w:t xml:space="preserve">dépenses </w:t>
      </w:r>
      <w:r w:rsidRPr="00D4002C">
        <w:rPr>
          <w:rFonts w:ascii="Arial" w:hAnsi="Arial" w:cs="Arial"/>
          <w:u w:val="single"/>
        </w:rPr>
        <w:t>courantes</w:t>
      </w:r>
      <w:r w:rsidRPr="00D4002C">
        <w:rPr>
          <w:rFonts w:ascii="Arial" w:hAnsi="Arial" w:cs="Arial"/>
        </w:rPr>
        <w:t xml:space="preserve"> de 12.798,2 millions d’euros. Les </w:t>
      </w:r>
      <w:r w:rsidRPr="00D4002C">
        <w:rPr>
          <w:rFonts w:ascii="Arial" w:hAnsi="Arial" w:cs="Arial"/>
          <w:u w:val="single"/>
        </w:rPr>
        <w:t>dépenses courantes</w:t>
      </w:r>
      <w:r w:rsidRPr="00D4002C">
        <w:rPr>
          <w:rFonts w:ascii="Arial" w:hAnsi="Arial" w:cs="Arial"/>
        </w:rPr>
        <w:t xml:space="preserve"> effectives sont supérieures de 97,19 millions d’euros par rapport aux prévisions du budget voté. </w:t>
      </w:r>
    </w:p>
    <w:p w:rsidR="0083188E" w:rsidRPr="00D4002C" w:rsidRDefault="0083188E" w:rsidP="00D4002C">
      <w:pPr>
        <w:spacing w:line="240" w:lineRule="auto"/>
        <w:jc w:val="both"/>
        <w:rPr>
          <w:rFonts w:ascii="Arial" w:hAnsi="Arial" w:cs="Arial"/>
        </w:rPr>
      </w:pPr>
      <w:r w:rsidRPr="00D4002C">
        <w:rPr>
          <w:rFonts w:ascii="Arial" w:hAnsi="Arial" w:cs="Arial"/>
        </w:rPr>
        <w:t xml:space="preserve">Les dépenses en </w:t>
      </w:r>
      <w:r w:rsidRPr="00D4002C">
        <w:rPr>
          <w:rFonts w:ascii="Arial" w:hAnsi="Arial" w:cs="Arial"/>
          <w:u w:val="single"/>
        </w:rPr>
        <w:t>capital</w:t>
      </w:r>
      <w:r w:rsidRPr="00D4002C">
        <w:rPr>
          <w:rFonts w:ascii="Arial" w:hAnsi="Arial" w:cs="Arial"/>
        </w:rPr>
        <w:t xml:space="preserve"> s’élèvent à 1.476,7 millions d’euros. </w:t>
      </w:r>
    </w:p>
    <w:p w:rsidR="0083188E" w:rsidRPr="00D4002C" w:rsidRDefault="0083188E" w:rsidP="00D4002C">
      <w:pPr>
        <w:spacing w:line="240" w:lineRule="auto"/>
        <w:jc w:val="both"/>
        <w:rPr>
          <w:rFonts w:ascii="Arial" w:hAnsi="Arial" w:cs="Arial"/>
        </w:rPr>
      </w:pPr>
      <w:r w:rsidRPr="00D4002C">
        <w:rPr>
          <w:rFonts w:ascii="Arial" w:hAnsi="Arial" w:cs="Arial"/>
        </w:rPr>
        <w:t>Les dépenses totales sont de 14.274,9 millions d’euros. Elles dépassent le volume total des dépenses fixé par le budget voté de 180,1 millions d’euros (soit un écart de 1,28%).</w:t>
      </w:r>
    </w:p>
    <w:p w:rsidR="0083188E" w:rsidRPr="00D4002C" w:rsidRDefault="0083188E" w:rsidP="00D4002C">
      <w:pPr>
        <w:spacing w:line="240" w:lineRule="auto"/>
        <w:jc w:val="both"/>
        <w:rPr>
          <w:rFonts w:ascii="Arial" w:hAnsi="Arial" w:cs="Arial"/>
        </w:rPr>
      </w:pPr>
      <w:r w:rsidRPr="00D4002C">
        <w:rPr>
          <w:rFonts w:ascii="Arial" w:hAnsi="Arial" w:cs="Arial"/>
        </w:rPr>
        <w:t xml:space="preserve">Les </w:t>
      </w:r>
      <w:r w:rsidRPr="00D4002C">
        <w:rPr>
          <w:rFonts w:ascii="Arial" w:hAnsi="Arial" w:cs="Arial"/>
          <w:b/>
        </w:rPr>
        <w:t>principaux écarts, positifs et négatifs, entre le budget voté et l’exécution budgétaire</w:t>
      </w:r>
      <w:r w:rsidRPr="00D4002C">
        <w:rPr>
          <w:rFonts w:ascii="Arial" w:hAnsi="Arial" w:cs="Arial"/>
        </w:rPr>
        <w:t xml:space="preserve"> se situent au niveau </w:t>
      </w:r>
    </w:p>
    <w:p w:rsidR="0083188E" w:rsidRPr="00D4002C" w:rsidRDefault="0083188E" w:rsidP="00D4002C">
      <w:pPr>
        <w:spacing w:line="240" w:lineRule="auto"/>
        <w:jc w:val="both"/>
        <w:rPr>
          <w:rFonts w:ascii="Arial" w:hAnsi="Arial" w:cs="Arial"/>
        </w:rPr>
      </w:pPr>
      <w:r w:rsidRPr="00D4002C">
        <w:rPr>
          <w:rFonts w:ascii="Arial" w:hAnsi="Arial" w:cs="Arial"/>
        </w:rPr>
        <w:t xml:space="preserve">- des dotations aux fonds de réserve (+162,4 millions d’euros, dont 132 millions pour l’amortissement d’un prêt), </w:t>
      </w:r>
    </w:p>
    <w:p w:rsidR="0083188E" w:rsidRPr="00D4002C" w:rsidRDefault="0083188E" w:rsidP="00D4002C">
      <w:pPr>
        <w:spacing w:line="240" w:lineRule="auto"/>
        <w:jc w:val="both"/>
        <w:rPr>
          <w:rFonts w:ascii="Arial" w:hAnsi="Arial" w:cs="Arial"/>
        </w:rPr>
      </w:pPr>
      <w:r w:rsidRPr="00D4002C">
        <w:rPr>
          <w:rFonts w:ascii="Arial" w:hAnsi="Arial" w:cs="Arial"/>
        </w:rPr>
        <w:t xml:space="preserve">- des transferts de revenus aux administrations de sécurité sociale (+90,7 millions d’euros), </w:t>
      </w:r>
    </w:p>
    <w:p w:rsidR="0083188E" w:rsidRPr="00D4002C" w:rsidRDefault="0083188E" w:rsidP="00D4002C">
      <w:pPr>
        <w:spacing w:line="240" w:lineRule="auto"/>
        <w:jc w:val="both"/>
        <w:rPr>
          <w:rFonts w:ascii="Arial" w:hAnsi="Arial" w:cs="Arial"/>
        </w:rPr>
      </w:pPr>
      <w:r w:rsidRPr="00D4002C">
        <w:rPr>
          <w:rFonts w:ascii="Arial" w:hAnsi="Arial" w:cs="Arial"/>
        </w:rPr>
        <w:t xml:space="preserve">- des crédits pour la réalisation d’ouvrages de génie civil (-25,9 millions d’euros) ainsi que </w:t>
      </w:r>
    </w:p>
    <w:p w:rsidR="0083188E" w:rsidRPr="00D4002C" w:rsidRDefault="0083188E" w:rsidP="00D4002C">
      <w:pPr>
        <w:spacing w:line="240" w:lineRule="auto"/>
        <w:jc w:val="both"/>
        <w:rPr>
          <w:rFonts w:ascii="Arial" w:hAnsi="Arial" w:cs="Arial"/>
        </w:rPr>
      </w:pPr>
      <w:r w:rsidRPr="00D4002C">
        <w:rPr>
          <w:rFonts w:ascii="Arial" w:hAnsi="Arial" w:cs="Arial"/>
        </w:rPr>
        <w:t xml:space="preserve">- des transferts de revenus aux ménages (-39,2 millions d’euros). </w:t>
      </w:r>
    </w:p>
    <w:p w:rsidR="00D4002C" w:rsidRDefault="00D4002C" w:rsidP="00D4002C">
      <w:pPr>
        <w:spacing w:line="240" w:lineRule="auto"/>
        <w:jc w:val="center"/>
        <w:rPr>
          <w:rFonts w:ascii="Arial" w:hAnsi="Arial" w:cs="Arial"/>
          <w:lang w:eastAsia="fr-LU"/>
        </w:rPr>
      </w:pPr>
      <w:bookmarkStart w:id="2" w:name="_Toc495916949"/>
      <w:bookmarkStart w:id="3" w:name="_Toc456788506"/>
    </w:p>
    <w:p w:rsidR="0083188E" w:rsidRPr="00D4002C" w:rsidRDefault="0083188E" w:rsidP="00D4002C">
      <w:pPr>
        <w:spacing w:line="240" w:lineRule="auto"/>
        <w:jc w:val="center"/>
        <w:rPr>
          <w:rFonts w:ascii="Arial" w:hAnsi="Arial" w:cs="Arial"/>
          <w:b/>
          <w:lang w:eastAsia="fr-LU"/>
        </w:rPr>
      </w:pPr>
      <w:r w:rsidRPr="00D4002C">
        <w:rPr>
          <w:rFonts w:ascii="Arial" w:hAnsi="Arial" w:cs="Arial"/>
          <w:b/>
          <w:lang w:eastAsia="fr-LU"/>
        </w:rPr>
        <w:t>Budget pour ordre</w:t>
      </w:r>
      <w:bookmarkEnd w:id="2"/>
      <w:bookmarkEnd w:id="3"/>
    </w:p>
    <w:p w:rsidR="0083188E" w:rsidRPr="00D4002C" w:rsidRDefault="0083188E" w:rsidP="00D4002C">
      <w:pPr>
        <w:spacing w:line="240" w:lineRule="auto"/>
        <w:jc w:val="both"/>
        <w:rPr>
          <w:rFonts w:ascii="Arial" w:hAnsi="Arial" w:cs="Arial"/>
          <w:b/>
          <w:lang w:eastAsia="fr-LU"/>
        </w:rPr>
      </w:pPr>
    </w:p>
    <w:p w:rsidR="0083188E" w:rsidRPr="00D4002C" w:rsidRDefault="0083188E" w:rsidP="00D4002C">
      <w:pPr>
        <w:spacing w:after="240" w:line="240" w:lineRule="auto"/>
        <w:jc w:val="both"/>
        <w:rPr>
          <w:rFonts w:ascii="Arial" w:hAnsi="Arial" w:cs="Arial"/>
          <w:lang w:eastAsia="fr-LU"/>
        </w:rPr>
      </w:pPr>
      <w:r w:rsidRPr="00D4002C">
        <w:rPr>
          <w:rFonts w:ascii="Arial" w:hAnsi="Arial" w:cs="Arial"/>
          <w:lang w:eastAsia="fr-LU"/>
        </w:rPr>
        <w:t>Le budget pour ordre tient compte, d’une part, des recettes encaissées par l’Etat pour le compte de tiers et, d’autre part, au niveau des dépenses, des montants alloués aux tiers destinataires. En d’autres termes, le budget pour ordre concerne des fonds qui ne font que transiter par la Trésorerie de l’Etat. Il s’agit donc d’opérations financières qui devraient être budgétairement neutres pour l’Etat.</w:t>
      </w:r>
    </w:p>
    <w:p w:rsidR="0083188E" w:rsidRPr="00D4002C" w:rsidRDefault="0083188E" w:rsidP="00D4002C">
      <w:pPr>
        <w:spacing w:after="240" w:line="240" w:lineRule="auto"/>
        <w:jc w:val="both"/>
        <w:rPr>
          <w:rFonts w:ascii="Arial" w:hAnsi="Arial" w:cs="Arial"/>
          <w:lang w:eastAsia="fr-LU"/>
        </w:rPr>
      </w:pPr>
      <w:r w:rsidRPr="00D4002C">
        <w:rPr>
          <w:rFonts w:ascii="Arial" w:hAnsi="Arial" w:cs="Arial"/>
          <w:lang w:eastAsia="fr-LU"/>
        </w:rPr>
        <w:t>En raison de l’article 78(3) de la loi modifiée du 8 juin 1999 sur le budget, la comptabilité et la trésorerie de l’Etat, les dépenses pour ordre ne peuvent, en principe, pas dépasser le montant des recettes correspondantes à la fin de l’exercice.</w:t>
      </w:r>
    </w:p>
    <w:p w:rsidR="0083188E" w:rsidRPr="00D4002C" w:rsidRDefault="0083188E" w:rsidP="00D4002C">
      <w:pPr>
        <w:spacing w:line="240" w:lineRule="auto"/>
        <w:jc w:val="center"/>
        <w:rPr>
          <w:rFonts w:ascii="Arial" w:hAnsi="Arial" w:cs="Arial"/>
          <w:b/>
        </w:rPr>
      </w:pPr>
      <w:r w:rsidRPr="00D4002C">
        <w:rPr>
          <w:rFonts w:ascii="Arial" w:hAnsi="Arial" w:cs="Arial"/>
          <w:b/>
        </w:rPr>
        <w:t>B. Recettes et dépenses pour ordre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2"/>
        <w:gridCol w:w="2758"/>
      </w:tblGrid>
      <w:tr w:rsidR="0083188E" w:rsidRPr="00D4002C" w:rsidTr="00D4002C">
        <w:trPr>
          <w:trHeight w:val="397"/>
        </w:trPr>
        <w:tc>
          <w:tcPr>
            <w:tcW w:w="6302" w:type="dxa"/>
            <w:tcBorders>
              <w:top w:val="single" w:sz="4" w:space="0" w:color="auto"/>
              <w:left w:val="single" w:sz="4" w:space="0" w:color="auto"/>
              <w:bottom w:val="single" w:sz="4" w:space="0" w:color="auto"/>
              <w:right w:val="single" w:sz="4" w:space="0" w:color="auto"/>
            </w:tcBorders>
            <w:noWrap/>
            <w:vAlign w:val="center"/>
            <w:hideMark/>
          </w:tcPr>
          <w:p w:rsidR="0083188E" w:rsidRPr="00D4002C" w:rsidRDefault="0083188E" w:rsidP="00D4002C">
            <w:pPr>
              <w:spacing w:line="240" w:lineRule="auto"/>
              <w:ind w:left="67"/>
              <w:rPr>
                <w:rFonts w:ascii="Arial" w:hAnsi="Arial" w:cs="Arial"/>
                <w:sz w:val="20"/>
                <w:szCs w:val="20"/>
              </w:rPr>
            </w:pPr>
            <w:r w:rsidRPr="00D4002C">
              <w:rPr>
                <w:rFonts w:ascii="Arial" w:hAnsi="Arial" w:cs="Arial"/>
                <w:sz w:val="20"/>
                <w:szCs w:val="20"/>
              </w:rPr>
              <w:t xml:space="preserve">I- </w:t>
            </w:r>
            <w:r w:rsidRPr="00D4002C">
              <w:rPr>
                <w:rFonts w:ascii="Arial" w:hAnsi="Arial" w:cs="Arial"/>
                <w:sz w:val="20"/>
                <w:szCs w:val="20"/>
              </w:rPr>
              <w:tab/>
              <w:t>Recettes pour ordre :</w:t>
            </w:r>
          </w:p>
        </w:tc>
        <w:tc>
          <w:tcPr>
            <w:tcW w:w="2758" w:type="dxa"/>
            <w:tcBorders>
              <w:top w:val="single" w:sz="4" w:space="0" w:color="auto"/>
              <w:left w:val="single" w:sz="4" w:space="0" w:color="auto"/>
              <w:bottom w:val="single" w:sz="4" w:space="0" w:color="auto"/>
              <w:right w:val="single" w:sz="4" w:space="0" w:color="auto"/>
            </w:tcBorders>
            <w:noWrap/>
            <w:vAlign w:val="center"/>
            <w:hideMark/>
          </w:tcPr>
          <w:p w:rsidR="0083188E" w:rsidRPr="00D4002C" w:rsidRDefault="0083188E" w:rsidP="00D4002C">
            <w:pPr>
              <w:spacing w:line="240" w:lineRule="auto"/>
              <w:ind w:right="69"/>
              <w:jc w:val="right"/>
              <w:rPr>
                <w:rFonts w:ascii="Arial" w:hAnsi="Arial" w:cs="Arial"/>
                <w:sz w:val="20"/>
                <w:szCs w:val="20"/>
              </w:rPr>
            </w:pPr>
            <w:r w:rsidRPr="00D4002C">
              <w:rPr>
                <w:rFonts w:ascii="Arial" w:hAnsi="Arial" w:cs="Arial"/>
                <w:sz w:val="20"/>
                <w:szCs w:val="20"/>
              </w:rPr>
              <w:t>6 042 855 202,17 euros</w:t>
            </w:r>
          </w:p>
        </w:tc>
      </w:tr>
      <w:tr w:rsidR="0083188E" w:rsidRPr="00D4002C" w:rsidTr="00D4002C">
        <w:trPr>
          <w:trHeight w:val="397"/>
        </w:trPr>
        <w:tc>
          <w:tcPr>
            <w:tcW w:w="6302" w:type="dxa"/>
            <w:tcBorders>
              <w:top w:val="single" w:sz="4" w:space="0" w:color="auto"/>
              <w:left w:val="single" w:sz="4" w:space="0" w:color="auto"/>
              <w:bottom w:val="single" w:sz="4" w:space="0" w:color="auto"/>
              <w:right w:val="single" w:sz="4" w:space="0" w:color="auto"/>
            </w:tcBorders>
            <w:noWrap/>
            <w:vAlign w:val="center"/>
            <w:hideMark/>
          </w:tcPr>
          <w:p w:rsidR="0083188E" w:rsidRPr="00D4002C" w:rsidRDefault="0083188E" w:rsidP="00D4002C">
            <w:pPr>
              <w:spacing w:line="240" w:lineRule="auto"/>
              <w:ind w:left="67"/>
              <w:rPr>
                <w:rFonts w:ascii="Arial" w:hAnsi="Arial" w:cs="Arial"/>
                <w:sz w:val="20"/>
                <w:szCs w:val="20"/>
              </w:rPr>
            </w:pPr>
            <w:r w:rsidRPr="00D4002C">
              <w:rPr>
                <w:rFonts w:ascii="Arial" w:hAnsi="Arial" w:cs="Arial"/>
                <w:sz w:val="20"/>
                <w:szCs w:val="20"/>
              </w:rPr>
              <w:t>II-</w:t>
            </w:r>
            <w:r w:rsidRPr="00D4002C">
              <w:rPr>
                <w:rFonts w:ascii="Arial" w:hAnsi="Arial" w:cs="Arial"/>
                <w:sz w:val="20"/>
                <w:szCs w:val="20"/>
              </w:rPr>
              <w:tab/>
              <w:t>Dépenses pour ordre :</w:t>
            </w:r>
          </w:p>
        </w:tc>
        <w:tc>
          <w:tcPr>
            <w:tcW w:w="2758" w:type="dxa"/>
            <w:tcBorders>
              <w:top w:val="single" w:sz="4" w:space="0" w:color="auto"/>
              <w:left w:val="single" w:sz="4" w:space="0" w:color="auto"/>
              <w:bottom w:val="single" w:sz="4" w:space="0" w:color="auto"/>
              <w:right w:val="single" w:sz="4" w:space="0" w:color="auto"/>
            </w:tcBorders>
            <w:noWrap/>
            <w:vAlign w:val="center"/>
            <w:hideMark/>
          </w:tcPr>
          <w:p w:rsidR="0083188E" w:rsidRPr="00D4002C" w:rsidRDefault="0083188E" w:rsidP="00D4002C">
            <w:pPr>
              <w:spacing w:line="240" w:lineRule="auto"/>
              <w:ind w:right="69"/>
              <w:jc w:val="right"/>
              <w:rPr>
                <w:rFonts w:ascii="Arial" w:hAnsi="Arial" w:cs="Arial"/>
                <w:sz w:val="20"/>
                <w:szCs w:val="20"/>
              </w:rPr>
            </w:pPr>
            <w:r w:rsidRPr="00D4002C">
              <w:rPr>
                <w:rFonts w:ascii="Arial" w:hAnsi="Arial" w:cs="Arial"/>
                <w:sz w:val="20"/>
                <w:szCs w:val="20"/>
              </w:rPr>
              <w:t>6 038 314 516,92 euros</w:t>
            </w:r>
          </w:p>
        </w:tc>
      </w:tr>
      <w:tr w:rsidR="0083188E" w:rsidRPr="00D4002C" w:rsidTr="00D4002C">
        <w:trPr>
          <w:trHeight w:val="397"/>
        </w:trPr>
        <w:tc>
          <w:tcPr>
            <w:tcW w:w="6302" w:type="dxa"/>
            <w:tcBorders>
              <w:top w:val="single" w:sz="4" w:space="0" w:color="auto"/>
              <w:left w:val="single" w:sz="4" w:space="0" w:color="auto"/>
              <w:bottom w:val="single" w:sz="4" w:space="0" w:color="auto"/>
              <w:right w:val="single" w:sz="4" w:space="0" w:color="auto"/>
            </w:tcBorders>
            <w:noWrap/>
            <w:vAlign w:val="center"/>
            <w:hideMark/>
          </w:tcPr>
          <w:p w:rsidR="0083188E" w:rsidRPr="00D4002C" w:rsidRDefault="0083188E" w:rsidP="00D4002C">
            <w:pPr>
              <w:spacing w:line="240" w:lineRule="auto"/>
              <w:ind w:left="67"/>
              <w:rPr>
                <w:rFonts w:ascii="Arial" w:hAnsi="Arial" w:cs="Arial"/>
                <w:b/>
                <w:sz w:val="20"/>
                <w:szCs w:val="20"/>
              </w:rPr>
            </w:pPr>
            <w:r w:rsidRPr="00D4002C">
              <w:rPr>
                <w:rFonts w:ascii="Arial" w:hAnsi="Arial" w:cs="Arial"/>
                <w:b/>
                <w:sz w:val="20"/>
                <w:szCs w:val="20"/>
              </w:rPr>
              <w:t>III-</w:t>
            </w:r>
            <w:r w:rsidRPr="00D4002C">
              <w:rPr>
                <w:rFonts w:ascii="Arial" w:hAnsi="Arial" w:cs="Arial"/>
                <w:b/>
                <w:sz w:val="20"/>
                <w:szCs w:val="20"/>
              </w:rPr>
              <w:tab/>
              <w:t>Excédent de recettes pour ordre :</w:t>
            </w:r>
          </w:p>
        </w:tc>
        <w:tc>
          <w:tcPr>
            <w:tcW w:w="2758" w:type="dxa"/>
            <w:tcBorders>
              <w:top w:val="single" w:sz="4" w:space="0" w:color="auto"/>
              <w:left w:val="single" w:sz="4" w:space="0" w:color="auto"/>
              <w:bottom w:val="single" w:sz="4" w:space="0" w:color="auto"/>
              <w:right w:val="single" w:sz="4" w:space="0" w:color="auto"/>
            </w:tcBorders>
            <w:noWrap/>
            <w:vAlign w:val="center"/>
            <w:hideMark/>
          </w:tcPr>
          <w:p w:rsidR="0083188E" w:rsidRPr="00D4002C" w:rsidRDefault="0083188E" w:rsidP="00D4002C">
            <w:pPr>
              <w:spacing w:line="240" w:lineRule="auto"/>
              <w:ind w:right="69"/>
              <w:jc w:val="right"/>
              <w:rPr>
                <w:rFonts w:ascii="Arial" w:hAnsi="Arial" w:cs="Arial"/>
                <w:b/>
                <w:sz w:val="20"/>
                <w:szCs w:val="20"/>
              </w:rPr>
            </w:pPr>
            <w:r w:rsidRPr="00D4002C">
              <w:rPr>
                <w:rFonts w:ascii="Arial" w:hAnsi="Arial" w:cs="Arial"/>
                <w:b/>
                <w:sz w:val="20"/>
                <w:szCs w:val="20"/>
              </w:rPr>
              <w:t>4 540 685,25 euros</w:t>
            </w:r>
          </w:p>
        </w:tc>
      </w:tr>
    </w:tbl>
    <w:p w:rsidR="0083188E" w:rsidRPr="00D4002C" w:rsidRDefault="0083188E" w:rsidP="00D4002C">
      <w:pPr>
        <w:spacing w:line="240" w:lineRule="auto"/>
        <w:jc w:val="both"/>
        <w:rPr>
          <w:rFonts w:ascii="Arial" w:hAnsi="Arial" w:cs="Arial"/>
          <w:sz w:val="20"/>
          <w:szCs w:val="20"/>
          <w:lang w:val="fr-FR" w:eastAsia="fr-FR"/>
        </w:rPr>
      </w:pPr>
    </w:p>
    <w:p w:rsidR="0083188E" w:rsidRPr="00D4002C" w:rsidRDefault="0083188E" w:rsidP="00D4002C">
      <w:pPr>
        <w:spacing w:line="240" w:lineRule="auto"/>
        <w:jc w:val="both"/>
        <w:rPr>
          <w:rFonts w:ascii="Arial" w:hAnsi="Arial" w:cs="Arial"/>
        </w:rPr>
      </w:pPr>
      <w:r w:rsidRPr="00D4002C">
        <w:rPr>
          <w:rFonts w:ascii="Arial" w:hAnsi="Arial" w:cs="Arial"/>
        </w:rPr>
        <w:t>L’excédent de recettes pour ordre est porté au crédit du compte « report du solde des recettes et dépenses pour ordre » dont le solde positif s'établit à 16 923 011,49 euros.</w:t>
      </w:r>
    </w:p>
    <w:sectPr w:rsidR="0083188E" w:rsidRPr="00D40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55 Roma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88E"/>
    <w:rsid w:val="007D7447"/>
    <w:rsid w:val="0083188E"/>
    <w:rsid w:val="008765CF"/>
    <w:rsid w:val="0089631B"/>
    <w:rsid w:val="0094745E"/>
    <w:rsid w:val="00AA678C"/>
    <w:rsid w:val="00D4002C"/>
    <w:rsid w:val="00DC2D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8F11A3-D2ED-463A-8A94-98B2F1B7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188E"/>
    <w:pPr>
      <w:autoSpaceDE w:val="0"/>
      <w:autoSpaceDN w:val="0"/>
      <w:adjustRightInd w:val="0"/>
    </w:pPr>
    <w:rPr>
      <w:rFonts w:ascii="Garamond" w:eastAsia="Times New Roman" w:hAnsi="Garamond" w:cs="Garamond"/>
      <w:color w:val="000000"/>
      <w:sz w:val="24"/>
      <w:szCs w:val="24"/>
    </w:rPr>
  </w:style>
  <w:style w:type="character" w:customStyle="1" w:styleId="1TEXTEChar">
    <w:name w:val="1     TEXTE Char"/>
    <w:link w:val="1TEXTE"/>
    <w:uiPriority w:val="99"/>
    <w:locked/>
    <w:rsid w:val="0083188E"/>
    <w:rPr>
      <w:rFonts w:ascii="Garamond" w:hAnsi="Garamond"/>
      <w:lang w:val="fr-FR" w:eastAsia="en-US"/>
    </w:rPr>
  </w:style>
  <w:style w:type="paragraph" w:customStyle="1" w:styleId="1TEXTE">
    <w:name w:val="1     TEXTE"/>
    <w:basedOn w:val="Normal"/>
    <w:link w:val="1TEXTEChar"/>
    <w:uiPriority w:val="99"/>
    <w:rsid w:val="0083188E"/>
    <w:pPr>
      <w:spacing w:after="240" w:line="360" w:lineRule="auto"/>
      <w:ind w:left="1985" w:hanging="851"/>
      <w:jc w:val="both"/>
    </w:pPr>
    <w:rPr>
      <w:rFonts w:ascii="Garamond" w:hAnsi="Garamond"/>
      <w:sz w:val="20"/>
      <w:szCs w:val="20"/>
      <w:lang w:val="fr-FR"/>
    </w:rPr>
  </w:style>
  <w:style w:type="paragraph" w:customStyle="1" w:styleId="1texte0">
    <w:name w:val="1texte"/>
    <w:basedOn w:val="Normal"/>
    <w:rsid w:val="0083188E"/>
    <w:pPr>
      <w:spacing w:after="240" w:line="360" w:lineRule="auto"/>
      <w:ind w:left="1985" w:hanging="851"/>
      <w:jc w:val="both"/>
    </w:pPr>
    <w:rPr>
      <w:rFonts w:ascii="Garamond" w:eastAsia="Times New Roman" w:hAnsi="Garamond"/>
      <w:sz w:val="20"/>
      <w:szCs w:val="20"/>
      <w:lang w:val="en-US"/>
    </w:rPr>
  </w:style>
  <w:style w:type="paragraph" w:customStyle="1" w:styleId="1TitreTableaugrand">
    <w:name w:val="1     Titre Tableau grand"/>
    <w:basedOn w:val="Normal"/>
    <w:next w:val="Normal"/>
    <w:rsid w:val="0083188E"/>
    <w:pPr>
      <w:keepNext/>
      <w:spacing w:before="480" w:after="0" w:line="360" w:lineRule="auto"/>
      <w:ind w:left="1089" w:firstLine="6"/>
      <w:jc w:val="center"/>
    </w:pPr>
    <w:rPr>
      <w:rFonts w:ascii="Frutiger 55 Roman" w:eastAsia="Times New Roman" w:hAnsi="Frutiger 55 Roman"/>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341A8B-B5B7-44B3-A4D8-F619ED028B9A}"/>
</file>

<file path=customXml/itemProps2.xml><?xml version="1.0" encoding="utf-8"?>
<ds:datastoreItem xmlns:ds="http://schemas.openxmlformats.org/officeDocument/2006/customXml" ds:itemID="{A05D2F2C-5A24-4422-8C43-EFB8A6F59368}"/>
</file>

<file path=customXml/itemProps3.xml><?xml version="1.0" encoding="utf-8"?>
<ds:datastoreItem xmlns:ds="http://schemas.openxmlformats.org/officeDocument/2006/customXml" ds:itemID="{C9D3DDF3-F08B-4121-85DD-3CB5F81135AF}"/>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6262</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