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7F" w:rsidRPr="007A3FA0" w:rsidRDefault="00D752D4" w:rsidP="007A3FA0">
      <w:pPr>
        <w:pStyle w:val="Listecouleur-Accent1"/>
        <w:keepNext/>
        <w:spacing w:after="0" w:line="240" w:lineRule="auto"/>
        <w:ind w:left="0"/>
        <w:rPr>
          <w:b/>
          <w:sz w:val="22"/>
          <w:lang w:val="fr-FR"/>
        </w:rPr>
      </w:pPr>
      <w:bookmarkStart w:id="0" w:name="_GoBack"/>
      <w:bookmarkEnd w:id="0"/>
      <w:r w:rsidRPr="007A3FA0">
        <w:rPr>
          <w:rFonts w:cs="Arial"/>
          <w:b/>
          <w:bCs/>
          <w:color w:val="000000"/>
          <w:sz w:val="22"/>
          <w:lang w:val="fr-FR"/>
        </w:rPr>
        <w:t>Projet de loi</w:t>
      </w:r>
      <w:r w:rsidR="004964EE" w:rsidRPr="007A3FA0">
        <w:rPr>
          <w:rFonts w:cs="Arial"/>
          <w:b/>
          <w:bCs/>
          <w:color w:val="000000"/>
          <w:sz w:val="22"/>
          <w:lang w:val="fr-FR"/>
        </w:rPr>
        <w:t xml:space="preserve"> </w:t>
      </w:r>
      <w:r w:rsidR="007A3FA0" w:rsidRPr="007A3FA0">
        <w:rPr>
          <w:rFonts w:cs="Arial"/>
          <w:b/>
          <w:bCs/>
          <w:color w:val="000000"/>
          <w:sz w:val="22"/>
          <w:lang w:val="fr-FR"/>
        </w:rPr>
        <w:t xml:space="preserve">7278 </w:t>
      </w:r>
      <w:r w:rsidR="00D607AE" w:rsidRPr="007A3FA0">
        <w:rPr>
          <w:rFonts w:eastAsia="Times New Roman" w:cs="Arial"/>
          <w:b/>
          <w:sz w:val="22"/>
          <w:lang w:val="fr-FR" w:eastAsia="fr-FR"/>
        </w:rPr>
        <w:t>modifiant et complétant la loi modifiée du 12 février 1979 concernant la taxe sur la valeur ajoutée</w:t>
      </w:r>
    </w:p>
    <w:p w:rsidR="00752348" w:rsidRPr="00994C08" w:rsidRDefault="00752348" w:rsidP="008E03F5">
      <w:pPr>
        <w:keepNext/>
        <w:spacing w:after="0" w:line="240" w:lineRule="auto"/>
        <w:jc w:val="both"/>
        <w:rPr>
          <w:b/>
          <w:lang w:val="fr-FR"/>
        </w:rPr>
      </w:pPr>
    </w:p>
    <w:p w:rsidR="008E03F5" w:rsidRPr="00994C08" w:rsidRDefault="008E03F5" w:rsidP="008E03F5">
      <w:pPr>
        <w:pStyle w:val="Body"/>
        <w:keepNext/>
        <w:keepLines/>
        <w:jc w:val="both"/>
        <w:rPr>
          <w:rFonts w:ascii="Arial" w:eastAsia="Arial" w:hAnsi="Arial" w:cs="Arial"/>
          <w:bCs/>
          <w:sz w:val="22"/>
          <w:szCs w:val="22"/>
        </w:rPr>
      </w:pPr>
      <w:r w:rsidRPr="00994C08">
        <w:rPr>
          <w:rFonts w:ascii="Arial" w:eastAsia="Arial" w:hAnsi="Arial" w:cs="Arial"/>
          <w:bCs/>
          <w:sz w:val="22"/>
          <w:szCs w:val="22"/>
        </w:rPr>
        <w:t>Le projet de loi sous rubrique a comme objet principal l'implémentation d'un régime d'intégration fiscale en matière de la taxe sur la valeur ajoutée (</w:t>
      </w:r>
      <w:r w:rsidR="0003619E">
        <w:rPr>
          <w:rFonts w:ascii="Arial" w:eastAsia="Arial" w:hAnsi="Arial" w:cs="Arial"/>
          <w:bCs/>
          <w:sz w:val="22"/>
          <w:szCs w:val="22"/>
        </w:rPr>
        <w:t>« </w:t>
      </w:r>
      <w:r w:rsidRPr="00994C08">
        <w:rPr>
          <w:rFonts w:ascii="Arial" w:eastAsia="Arial" w:hAnsi="Arial" w:cs="Arial"/>
          <w:bCs/>
          <w:sz w:val="22"/>
          <w:szCs w:val="22"/>
        </w:rPr>
        <w:t>TVA</w:t>
      </w:r>
      <w:r w:rsidR="0003619E">
        <w:rPr>
          <w:rFonts w:ascii="Arial" w:eastAsia="Arial" w:hAnsi="Arial" w:cs="Arial"/>
          <w:bCs/>
          <w:sz w:val="22"/>
          <w:szCs w:val="22"/>
        </w:rPr>
        <w:t> »</w:t>
      </w:r>
      <w:r w:rsidRPr="00994C08">
        <w:rPr>
          <w:rFonts w:ascii="Arial" w:eastAsia="Arial" w:hAnsi="Arial" w:cs="Arial"/>
          <w:bCs/>
          <w:sz w:val="22"/>
          <w:szCs w:val="22"/>
        </w:rPr>
        <w:t xml:space="preserve">), à savoir le régime de groupe TVA. </w:t>
      </w:r>
      <w:r w:rsidR="00980CBA" w:rsidRPr="00994C08">
        <w:rPr>
          <w:rFonts w:ascii="Arial" w:eastAsia="Arial" w:hAnsi="Arial" w:cs="Arial"/>
          <w:bCs/>
          <w:sz w:val="22"/>
          <w:szCs w:val="22"/>
        </w:rPr>
        <w:t xml:space="preserve">En droit interne, la mise en </w:t>
      </w:r>
      <w:r w:rsidR="0003619E">
        <w:rPr>
          <w:rFonts w:ascii="Arial" w:eastAsia="Arial" w:hAnsi="Arial" w:cs="Arial"/>
          <w:bCs/>
          <w:sz w:val="22"/>
          <w:szCs w:val="22"/>
        </w:rPr>
        <w:t xml:space="preserve">œuvre </w:t>
      </w:r>
      <w:r w:rsidR="00980CBA" w:rsidRPr="00994C08">
        <w:rPr>
          <w:rFonts w:ascii="Arial" w:eastAsia="Arial" w:hAnsi="Arial" w:cs="Arial"/>
          <w:bCs/>
          <w:sz w:val="22"/>
          <w:szCs w:val="22"/>
        </w:rPr>
        <w:t>du groupe TVA se traduit</w:t>
      </w:r>
      <w:r w:rsidR="00C124F9" w:rsidRPr="00994C08">
        <w:rPr>
          <w:rFonts w:ascii="Arial" w:eastAsia="Arial" w:hAnsi="Arial" w:cs="Arial"/>
          <w:bCs/>
          <w:sz w:val="22"/>
          <w:szCs w:val="22"/>
        </w:rPr>
        <w:t xml:space="preserve"> principalement</w:t>
      </w:r>
      <w:r w:rsidR="00980CBA" w:rsidRPr="00994C08">
        <w:rPr>
          <w:rFonts w:ascii="Arial" w:eastAsia="Arial" w:hAnsi="Arial" w:cs="Arial"/>
          <w:bCs/>
          <w:sz w:val="22"/>
          <w:szCs w:val="22"/>
        </w:rPr>
        <w:t xml:space="preserve"> par l'insertion</w:t>
      </w:r>
      <w:r w:rsidRPr="00994C08">
        <w:rPr>
          <w:rFonts w:ascii="Arial" w:eastAsia="Arial" w:hAnsi="Arial" w:cs="Arial"/>
          <w:bCs/>
          <w:sz w:val="22"/>
          <w:szCs w:val="22"/>
        </w:rPr>
        <w:t xml:space="preserve"> </w:t>
      </w:r>
      <w:r w:rsidR="00980CBA" w:rsidRPr="00994C08">
        <w:rPr>
          <w:rFonts w:ascii="Arial" w:eastAsia="Arial" w:hAnsi="Arial" w:cs="Arial"/>
          <w:bCs/>
          <w:sz w:val="22"/>
          <w:szCs w:val="22"/>
        </w:rPr>
        <w:t>d'</w:t>
      </w:r>
      <w:r w:rsidRPr="00994C08">
        <w:rPr>
          <w:rFonts w:ascii="Arial" w:eastAsia="Arial" w:hAnsi="Arial" w:cs="Arial"/>
          <w:bCs/>
          <w:sz w:val="22"/>
          <w:szCs w:val="22"/>
        </w:rPr>
        <w:t>une</w:t>
      </w:r>
      <w:r w:rsidR="0021465C" w:rsidRPr="00994C08">
        <w:rPr>
          <w:rFonts w:ascii="Arial" w:eastAsia="Arial" w:hAnsi="Arial" w:cs="Arial"/>
          <w:bCs/>
          <w:sz w:val="22"/>
          <w:szCs w:val="22"/>
        </w:rPr>
        <w:t xml:space="preserve"> nouvelle</w:t>
      </w:r>
      <w:r w:rsidRPr="00994C08">
        <w:rPr>
          <w:rFonts w:ascii="Arial" w:eastAsia="Arial" w:hAnsi="Arial" w:cs="Arial"/>
          <w:bCs/>
          <w:sz w:val="22"/>
          <w:szCs w:val="22"/>
        </w:rPr>
        <w:t xml:space="preserve"> s</w:t>
      </w:r>
      <w:r w:rsidR="0021465C" w:rsidRPr="00994C08">
        <w:rPr>
          <w:rFonts w:ascii="Arial" w:eastAsia="Arial" w:hAnsi="Arial" w:cs="Arial"/>
          <w:bCs/>
          <w:sz w:val="22"/>
          <w:szCs w:val="22"/>
        </w:rPr>
        <w:t>ection 9 libellée "Régime du groupe TVA" au chapitre VIII de la</w:t>
      </w:r>
      <w:r w:rsidRPr="00994C08">
        <w:rPr>
          <w:rFonts w:ascii="Arial" w:eastAsia="Arial" w:hAnsi="Arial" w:cs="Arial"/>
          <w:bCs/>
          <w:sz w:val="22"/>
          <w:szCs w:val="22"/>
        </w:rPr>
        <w:t xml:space="preserve"> loi modifiée du 12 février 1979 concernant la taxe sur la valeur ajoutée</w:t>
      </w:r>
      <w:r w:rsidR="00C124F9" w:rsidRPr="00994C08">
        <w:rPr>
          <w:rFonts w:ascii="Arial" w:eastAsia="Arial" w:hAnsi="Arial" w:cs="Arial"/>
          <w:bCs/>
          <w:sz w:val="22"/>
          <w:szCs w:val="22"/>
        </w:rPr>
        <w:t xml:space="preserve"> (</w:t>
      </w:r>
      <w:r w:rsidR="0003619E">
        <w:rPr>
          <w:rFonts w:ascii="Arial" w:eastAsia="Arial" w:hAnsi="Arial" w:cs="Arial"/>
          <w:bCs/>
          <w:sz w:val="22"/>
          <w:szCs w:val="22"/>
        </w:rPr>
        <w:t>« </w:t>
      </w:r>
      <w:r w:rsidR="00C124F9" w:rsidRPr="00994C08">
        <w:rPr>
          <w:rFonts w:ascii="Arial" w:eastAsia="Arial" w:hAnsi="Arial" w:cs="Arial"/>
          <w:bCs/>
          <w:sz w:val="22"/>
          <w:szCs w:val="22"/>
        </w:rPr>
        <w:t>loi TVA</w:t>
      </w:r>
      <w:r w:rsidR="0003619E">
        <w:rPr>
          <w:rFonts w:ascii="Arial" w:eastAsia="Arial" w:hAnsi="Arial" w:cs="Arial"/>
          <w:bCs/>
          <w:sz w:val="22"/>
          <w:szCs w:val="22"/>
        </w:rPr>
        <w:t> »</w:t>
      </w:r>
      <w:r w:rsidR="00C124F9" w:rsidRPr="00994C08">
        <w:rPr>
          <w:rFonts w:ascii="Arial" w:eastAsia="Arial" w:hAnsi="Arial" w:cs="Arial"/>
          <w:bCs/>
          <w:sz w:val="22"/>
          <w:szCs w:val="22"/>
        </w:rPr>
        <w:t>)</w:t>
      </w:r>
      <w:r w:rsidR="0021465C" w:rsidRPr="00994C08">
        <w:rPr>
          <w:rFonts w:ascii="Arial" w:eastAsia="Arial" w:hAnsi="Arial" w:cs="Arial"/>
          <w:bCs/>
          <w:sz w:val="22"/>
          <w:szCs w:val="22"/>
        </w:rPr>
        <w:t>.</w:t>
      </w:r>
    </w:p>
    <w:p w:rsidR="0021465C" w:rsidRDefault="0021465C" w:rsidP="008E03F5">
      <w:pPr>
        <w:pStyle w:val="Body"/>
        <w:keepNext/>
        <w:keepLines/>
        <w:jc w:val="both"/>
        <w:rPr>
          <w:rFonts w:ascii="Arial" w:eastAsia="Arial" w:hAnsi="Arial" w:cs="Arial"/>
          <w:bCs/>
          <w:sz w:val="22"/>
          <w:szCs w:val="22"/>
        </w:rPr>
      </w:pPr>
    </w:p>
    <w:p w:rsidR="00970B81" w:rsidRPr="00994C08" w:rsidRDefault="00815756" w:rsidP="00C124F9">
      <w:pPr>
        <w:pStyle w:val="Body"/>
        <w:keepNext/>
        <w:keepLines/>
        <w:jc w:val="both"/>
        <w:rPr>
          <w:rFonts w:ascii="Arial" w:eastAsia="Arial" w:hAnsi="Arial" w:cs="Arial"/>
          <w:bCs/>
          <w:sz w:val="22"/>
          <w:szCs w:val="22"/>
        </w:rPr>
      </w:pPr>
      <w:r>
        <w:rPr>
          <w:rFonts w:ascii="Arial" w:hAnsi="Arial" w:cs="Arial"/>
          <w:sz w:val="22"/>
          <w:szCs w:val="22"/>
        </w:rPr>
        <w:t>L</w:t>
      </w:r>
      <w:r w:rsidR="00C124F9" w:rsidRPr="00994C08">
        <w:rPr>
          <w:rFonts w:ascii="Arial" w:hAnsi="Arial" w:cs="Arial"/>
          <w:sz w:val="22"/>
          <w:szCs w:val="22"/>
        </w:rPr>
        <w:t xml:space="preserve">'introduction du groupe TVA dans la loi </w:t>
      </w:r>
      <w:r w:rsidR="00C124F9" w:rsidRPr="00994C08">
        <w:rPr>
          <w:rFonts w:ascii="Arial" w:eastAsia="Arial" w:hAnsi="Arial" w:cs="Arial"/>
          <w:bCs/>
          <w:sz w:val="22"/>
          <w:szCs w:val="22"/>
        </w:rPr>
        <w:t xml:space="preserve">TVA </w:t>
      </w:r>
      <w:r w:rsidR="00224BE4" w:rsidRPr="00994C08">
        <w:rPr>
          <w:rFonts w:ascii="Arial" w:eastAsia="Arial" w:hAnsi="Arial" w:cs="Arial"/>
          <w:bCs/>
          <w:sz w:val="22"/>
          <w:szCs w:val="22"/>
        </w:rPr>
        <w:t>s'impose principalement suite à des évolutions jurisprudentielles récentes de la Cour de justice de l'Union européenne (</w:t>
      </w:r>
      <w:r w:rsidR="0003619E">
        <w:rPr>
          <w:rFonts w:ascii="Arial" w:eastAsia="Arial" w:hAnsi="Arial" w:cs="Arial"/>
          <w:bCs/>
          <w:sz w:val="22"/>
          <w:szCs w:val="22"/>
        </w:rPr>
        <w:t>« </w:t>
      </w:r>
      <w:r w:rsidR="00224BE4" w:rsidRPr="00994C08">
        <w:rPr>
          <w:rFonts w:ascii="Arial" w:eastAsia="Arial" w:hAnsi="Arial" w:cs="Arial"/>
          <w:bCs/>
          <w:sz w:val="22"/>
          <w:szCs w:val="22"/>
        </w:rPr>
        <w:t>CJUE</w:t>
      </w:r>
      <w:r w:rsidR="0003619E">
        <w:rPr>
          <w:rFonts w:ascii="Arial" w:eastAsia="Arial" w:hAnsi="Arial" w:cs="Arial"/>
          <w:bCs/>
          <w:sz w:val="22"/>
          <w:szCs w:val="22"/>
        </w:rPr>
        <w:t> »</w:t>
      </w:r>
      <w:r w:rsidR="00224BE4" w:rsidRPr="00994C08">
        <w:rPr>
          <w:rFonts w:ascii="Arial" w:eastAsia="Arial" w:hAnsi="Arial" w:cs="Arial"/>
          <w:bCs/>
          <w:sz w:val="22"/>
          <w:szCs w:val="22"/>
        </w:rPr>
        <w:t>) ne permettant plus aux assujettis de bénéficier aussi largement du régime d'exonération des groupements autonomes de personnes (</w:t>
      </w:r>
      <w:r w:rsidR="0003619E">
        <w:rPr>
          <w:rFonts w:ascii="Arial" w:eastAsia="Arial" w:hAnsi="Arial" w:cs="Arial"/>
          <w:bCs/>
          <w:sz w:val="22"/>
          <w:szCs w:val="22"/>
        </w:rPr>
        <w:t>« </w:t>
      </w:r>
      <w:r w:rsidR="00224BE4" w:rsidRPr="00994C08">
        <w:rPr>
          <w:rFonts w:ascii="Arial" w:eastAsia="Arial" w:hAnsi="Arial" w:cs="Arial"/>
          <w:bCs/>
          <w:sz w:val="22"/>
          <w:szCs w:val="22"/>
        </w:rPr>
        <w:t>GAP</w:t>
      </w:r>
      <w:r w:rsidR="0003619E">
        <w:rPr>
          <w:rFonts w:ascii="Arial" w:eastAsia="Arial" w:hAnsi="Arial" w:cs="Arial"/>
          <w:bCs/>
          <w:sz w:val="22"/>
          <w:szCs w:val="22"/>
        </w:rPr>
        <w:t> »</w:t>
      </w:r>
      <w:r w:rsidR="00224BE4" w:rsidRPr="00994C08">
        <w:rPr>
          <w:rFonts w:ascii="Arial" w:eastAsia="Arial" w:hAnsi="Arial" w:cs="Arial"/>
          <w:bCs/>
          <w:sz w:val="22"/>
          <w:szCs w:val="22"/>
        </w:rPr>
        <w:t xml:space="preserve">) prévu à l'article 132 de la directive </w:t>
      </w:r>
      <w:r w:rsidR="00545F99">
        <w:rPr>
          <w:rFonts w:ascii="Arial" w:eastAsia="Arial" w:hAnsi="Arial" w:cs="Arial"/>
          <w:bCs/>
          <w:sz w:val="22"/>
          <w:szCs w:val="22"/>
        </w:rPr>
        <w:t>2006/12/CE</w:t>
      </w:r>
      <w:r w:rsidR="00224BE4" w:rsidRPr="00994C08">
        <w:rPr>
          <w:rFonts w:ascii="Arial" w:eastAsia="Arial" w:hAnsi="Arial" w:cs="Arial"/>
          <w:bCs/>
          <w:sz w:val="22"/>
          <w:szCs w:val="22"/>
        </w:rPr>
        <w:t>.</w:t>
      </w:r>
      <w:r w:rsidR="00970B81" w:rsidRPr="00994C08">
        <w:rPr>
          <w:rFonts w:ascii="Arial" w:eastAsia="Arial" w:hAnsi="Arial" w:cs="Arial"/>
          <w:bCs/>
          <w:sz w:val="22"/>
          <w:szCs w:val="22"/>
        </w:rPr>
        <w:t xml:space="preserve"> </w:t>
      </w:r>
    </w:p>
    <w:p w:rsidR="00970B81" w:rsidRPr="00994C08" w:rsidRDefault="00970B81" w:rsidP="00C124F9">
      <w:pPr>
        <w:pStyle w:val="Body"/>
        <w:keepNext/>
        <w:keepLines/>
        <w:jc w:val="both"/>
        <w:rPr>
          <w:rFonts w:ascii="Arial" w:eastAsia="Arial" w:hAnsi="Arial" w:cs="Arial"/>
          <w:bCs/>
          <w:sz w:val="22"/>
          <w:szCs w:val="22"/>
        </w:rPr>
      </w:pPr>
    </w:p>
    <w:p w:rsidR="00C124F9" w:rsidRPr="00994C08" w:rsidRDefault="00970B81" w:rsidP="00C124F9">
      <w:pPr>
        <w:pStyle w:val="Body"/>
        <w:keepNext/>
        <w:keepLines/>
        <w:jc w:val="both"/>
        <w:rPr>
          <w:rFonts w:ascii="Arial" w:eastAsia="Arial" w:hAnsi="Arial" w:cs="Arial"/>
          <w:bCs/>
          <w:sz w:val="22"/>
          <w:szCs w:val="22"/>
        </w:rPr>
      </w:pPr>
      <w:r w:rsidRPr="00994C08">
        <w:rPr>
          <w:rFonts w:ascii="Arial" w:eastAsia="Arial" w:hAnsi="Arial" w:cs="Arial"/>
          <w:bCs/>
          <w:sz w:val="22"/>
          <w:szCs w:val="22"/>
        </w:rPr>
        <w:t xml:space="preserve">En effet, ces arrêts récents de la CJUE </w:t>
      </w:r>
      <w:r w:rsidR="006B2D00" w:rsidRPr="00994C08">
        <w:rPr>
          <w:rFonts w:ascii="Arial" w:eastAsia="Arial" w:hAnsi="Arial" w:cs="Arial"/>
          <w:bCs/>
          <w:sz w:val="22"/>
          <w:szCs w:val="22"/>
        </w:rPr>
        <w:t>risquent</w:t>
      </w:r>
      <w:r w:rsidRPr="00994C08">
        <w:rPr>
          <w:rFonts w:ascii="Arial" w:eastAsia="Arial" w:hAnsi="Arial" w:cs="Arial"/>
          <w:bCs/>
          <w:sz w:val="22"/>
          <w:szCs w:val="22"/>
        </w:rPr>
        <w:t xml:space="preserve"> de priver nombre d'assujettis des secteurs de la finance et de l'assurance d'un instrument permettant de maîtriser la charge de la T</w:t>
      </w:r>
      <w:r w:rsidR="00F21C4A" w:rsidRPr="00994C08">
        <w:rPr>
          <w:rFonts w:ascii="Arial" w:eastAsia="Arial" w:hAnsi="Arial" w:cs="Arial"/>
          <w:bCs/>
          <w:sz w:val="22"/>
          <w:szCs w:val="22"/>
        </w:rPr>
        <w:t xml:space="preserve">VA sur les prestations engagées </w:t>
      </w:r>
      <w:r w:rsidR="006B2D00" w:rsidRPr="00994C08">
        <w:rPr>
          <w:rFonts w:ascii="Arial" w:eastAsia="Arial" w:hAnsi="Arial" w:cs="Arial"/>
          <w:bCs/>
          <w:sz w:val="22"/>
          <w:szCs w:val="22"/>
        </w:rPr>
        <w:t xml:space="preserve">collectivement par ses membres. Les limitations jurisprudentielles auraient, selon les auteurs du projet de loi, également des répercussions sur la compétitivité des acteurs luxembourgeois, dans la mesure où d'autres Etats membres mettent en </w:t>
      </w:r>
      <w:r w:rsidR="0003619E">
        <w:rPr>
          <w:rFonts w:ascii="Arial" w:eastAsia="Arial" w:hAnsi="Arial" w:cs="Arial"/>
          <w:bCs/>
          <w:sz w:val="22"/>
          <w:szCs w:val="22"/>
        </w:rPr>
        <w:t xml:space="preserve">œuvre </w:t>
      </w:r>
      <w:r w:rsidR="006B2D00" w:rsidRPr="00994C08">
        <w:rPr>
          <w:rFonts w:ascii="Arial" w:eastAsia="Arial" w:hAnsi="Arial" w:cs="Arial"/>
          <w:bCs/>
          <w:sz w:val="22"/>
          <w:szCs w:val="22"/>
        </w:rPr>
        <w:t>l'article 11 de la directive 2006/112/CE relatif au régime de l'</w:t>
      </w:r>
      <w:r w:rsidR="0003619E">
        <w:rPr>
          <w:rFonts w:ascii="Arial" w:eastAsia="Arial" w:hAnsi="Arial" w:cs="Arial"/>
          <w:bCs/>
          <w:sz w:val="22"/>
          <w:szCs w:val="22"/>
        </w:rPr>
        <w:t>« </w:t>
      </w:r>
      <w:r w:rsidR="006B2D00" w:rsidRPr="00994C08">
        <w:rPr>
          <w:rFonts w:ascii="Arial" w:eastAsia="Arial" w:hAnsi="Arial" w:cs="Arial"/>
          <w:bCs/>
          <w:i/>
          <w:sz w:val="22"/>
          <w:szCs w:val="22"/>
        </w:rPr>
        <w:t>Organschaft</w:t>
      </w:r>
      <w:r w:rsidR="0003619E">
        <w:rPr>
          <w:rFonts w:ascii="Arial" w:eastAsia="Arial" w:hAnsi="Arial" w:cs="Arial"/>
          <w:bCs/>
          <w:i/>
          <w:sz w:val="22"/>
          <w:szCs w:val="22"/>
        </w:rPr>
        <w:t> »</w:t>
      </w:r>
      <w:r w:rsidR="006B2D00" w:rsidRPr="00994C08">
        <w:rPr>
          <w:rFonts w:ascii="Arial" w:eastAsia="Arial" w:hAnsi="Arial" w:cs="Arial"/>
          <w:bCs/>
          <w:sz w:val="22"/>
          <w:szCs w:val="22"/>
        </w:rPr>
        <w:t xml:space="preserve"> suivant lequel des personnes juridiquement distinct</w:t>
      </w:r>
      <w:r w:rsidR="007A2F2C">
        <w:rPr>
          <w:rFonts w:ascii="Arial" w:eastAsia="Arial" w:hAnsi="Arial" w:cs="Arial"/>
          <w:bCs/>
          <w:sz w:val="22"/>
          <w:szCs w:val="22"/>
        </w:rPr>
        <w:t>e</w:t>
      </w:r>
      <w:r w:rsidR="006B2D00" w:rsidRPr="00994C08">
        <w:rPr>
          <w:rFonts w:ascii="Arial" w:eastAsia="Arial" w:hAnsi="Arial" w:cs="Arial"/>
          <w:bCs/>
          <w:sz w:val="22"/>
          <w:szCs w:val="22"/>
        </w:rPr>
        <w:t>s</w:t>
      </w:r>
      <w:r w:rsidR="007A2F2C">
        <w:rPr>
          <w:rFonts w:ascii="Arial" w:eastAsia="Arial" w:hAnsi="Arial" w:cs="Arial"/>
          <w:bCs/>
          <w:sz w:val="22"/>
          <w:szCs w:val="22"/>
        </w:rPr>
        <w:t>,</w:t>
      </w:r>
      <w:r w:rsidR="006B2D00" w:rsidRPr="00994C08">
        <w:rPr>
          <w:rFonts w:ascii="Arial" w:eastAsia="Arial" w:hAnsi="Arial" w:cs="Arial"/>
          <w:bCs/>
          <w:sz w:val="22"/>
          <w:szCs w:val="22"/>
        </w:rPr>
        <w:t xml:space="preserve"> mais liées</w:t>
      </w:r>
      <w:r w:rsidR="007A2F2C">
        <w:rPr>
          <w:rFonts w:ascii="Arial" w:eastAsia="Arial" w:hAnsi="Arial" w:cs="Arial"/>
          <w:bCs/>
          <w:sz w:val="22"/>
          <w:szCs w:val="22"/>
        </w:rPr>
        <w:t>,</w:t>
      </w:r>
      <w:r w:rsidR="006B2D00" w:rsidRPr="00994C08">
        <w:rPr>
          <w:rFonts w:ascii="Arial" w:eastAsia="Arial" w:hAnsi="Arial" w:cs="Arial"/>
          <w:bCs/>
          <w:sz w:val="22"/>
          <w:szCs w:val="22"/>
        </w:rPr>
        <w:t xml:space="preserve"> peuvent être considérées comme une seule personne fiscale de sorte à faire échapper à la taxe les échanges réalisés entre e</w:t>
      </w:r>
      <w:r w:rsidR="007A2F2C">
        <w:rPr>
          <w:rFonts w:ascii="Arial" w:eastAsia="Arial" w:hAnsi="Arial" w:cs="Arial"/>
          <w:bCs/>
          <w:sz w:val="22"/>
          <w:szCs w:val="22"/>
        </w:rPr>
        <w:t>lles</w:t>
      </w:r>
      <w:r w:rsidR="006B2D00" w:rsidRPr="00994C08">
        <w:rPr>
          <w:rFonts w:ascii="Arial" w:eastAsia="Arial" w:hAnsi="Arial" w:cs="Arial"/>
          <w:bCs/>
          <w:sz w:val="22"/>
          <w:szCs w:val="22"/>
        </w:rPr>
        <w:t>.</w:t>
      </w:r>
    </w:p>
    <w:p w:rsidR="00224BE4" w:rsidRPr="00994C08" w:rsidRDefault="00224BE4" w:rsidP="00C124F9">
      <w:pPr>
        <w:pStyle w:val="Body"/>
        <w:keepNext/>
        <w:keepLines/>
        <w:jc w:val="both"/>
        <w:rPr>
          <w:rFonts w:ascii="Arial" w:eastAsia="Arial" w:hAnsi="Arial" w:cs="Arial"/>
          <w:bCs/>
          <w:sz w:val="22"/>
          <w:szCs w:val="22"/>
        </w:rPr>
      </w:pPr>
    </w:p>
    <w:p w:rsidR="00224BE4" w:rsidRPr="00994C08" w:rsidRDefault="00885522" w:rsidP="00C124F9">
      <w:pPr>
        <w:pStyle w:val="Body"/>
        <w:keepNext/>
        <w:keepLines/>
        <w:jc w:val="both"/>
        <w:rPr>
          <w:rFonts w:ascii="Arial" w:eastAsia="Arial" w:hAnsi="Arial" w:cs="Arial"/>
          <w:bCs/>
          <w:sz w:val="22"/>
          <w:szCs w:val="22"/>
        </w:rPr>
      </w:pPr>
      <w:r w:rsidRPr="00994C08">
        <w:rPr>
          <w:rFonts w:ascii="Arial" w:eastAsia="Arial" w:hAnsi="Arial" w:cs="Arial"/>
          <w:bCs/>
          <w:sz w:val="22"/>
          <w:szCs w:val="22"/>
        </w:rPr>
        <w:t xml:space="preserve">Le présent projet de loi mettra </w:t>
      </w:r>
      <w:r w:rsidR="007A2F2C" w:rsidRPr="00994C08">
        <w:rPr>
          <w:rFonts w:ascii="Arial" w:eastAsia="Arial" w:hAnsi="Arial" w:cs="Arial"/>
          <w:bCs/>
          <w:sz w:val="22"/>
          <w:szCs w:val="22"/>
        </w:rPr>
        <w:t xml:space="preserve">donc </w:t>
      </w:r>
      <w:r w:rsidRPr="00994C08">
        <w:rPr>
          <w:rFonts w:ascii="Arial" w:eastAsia="Arial" w:hAnsi="Arial" w:cs="Arial"/>
          <w:bCs/>
          <w:sz w:val="22"/>
          <w:szCs w:val="22"/>
        </w:rPr>
        <w:t xml:space="preserve">les secteurs concernés de nouveau </w:t>
      </w:r>
      <w:r w:rsidR="00F21C4A" w:rsidRPr="00994C08">
        <w:rPr>
          <w:rFonts w:ascii="Arial" w:eastAsia="Arial" w:hAnsi="Arial" w:cs="Arial"/>
          <w:bCs/>
          <w:sz w:val="22"/>
          <w:szCs w:val="22"/>
        </w:rPr>
        <w:t>sur un</w:t>
      </w:r>
      <w:r w:rsidRPr="00994C08">
        <w:rPr>
          <w:rFonts w:ascii="Arial" w:eastAsia="Arial" w:hAnsi="Arial" w:cs="Arial"/>
          <w:bCs/>
          <w:sz w:val="22"/>
          <w:szCs w:val="22"/>
        </w:rPr>
        <w:t xml:space="preserve"> pied d'égalité </w:t>
      </w:r>
      <w:r w:rsidR="00F21C4A" w:rsidRPr="00994C08">
        <w:rPr>
          <w:rFonts w:ascii="Arial" w:eastAsia="Arial" w:hAnsi="Arial" w:cs="Arial"/>
          <w:bCs/>
          <w:sz w:val="22"/>
          <w:szCs w:val="22"/>
        </w:rPr>
        <w:t xml:space="preserve">au niveau fiscal, tout en rétablissant un </w:t>
      </w:r>
      <w:r w:rsidR="0003619E">
        <w:rPr>
          <w:rFonts w:ascii="Arial" w:eastAsia="Arial" w:hAnsi="Arial" w:cs="Arial"/>
          <w:bCs/>
          <w:sz w:val="22"/>
          <w:szCs w:val="22"/>
        </w:rPr>
        <w:t>« </w:t>
      </w:r>
      <w:r w:rsidR="00F21C4A" w:rsidRPr="00994C08">
        <w:rPr>
          <w:rFonts w:ascii="Arial" w:eastAsia="Arial" w:hAnsi="Arial" w:cs="Arial"/>
          <w:bCs/>
          <w:i/>
          <w:sz w:val="22"/>
          <w:szCs w:val="22"/>
        </w:rPr>
        <w:t>level playing field</w:t>
      </w:r>
      <w:r w:rsidR="0003619E">
        <w:rPr>
          <w:rFonts w:ascii="Arial" w:eastAsia="Arial" w:hAnsi="Arial" w:cs="Arial"/>
          <w:bCs/>
          <w:i/>
          <w:sz w:val="22"/>
          <w:szCs w:val="22"/>
        </w:rPr>
        <w:t> »</w:t>
      </w:r>
      <w:r w:rsidR="00F21C4A" w:rsidRPr="00994C08">
        <w:rPr>
          <w:rFonts w:ascii="Arial" w:eastAsia="Arial" w:hAnsi="Arial" w:cs="Arial"/>
          <w:bCs/>
          <w:sz w:val="22"/>
          <w:szCs w:val="22"/>
        </w:rPr>
        <w:t>, comparable à celui dont disposent</w:t>
      </w:r>
      <w:r w:rsidR="00CA2982" w:rsidRPr="00994C08">
        <w:rPr>
          <w:rFonts w:ascii="Arial" w:eastAsia="Arial" w:hAnsi="Arial" w:cs="Arial"/>
          <w:bCs/>
          <w:sz w:val="22"/>
          <w:szCs w:val="22"/>
        </w:rPr>
        <w:t xml:space="preserve"> le</w:t>
      </w:r>
      <w:r w:rsidR="00132945" w:rsidRPr="00994C08">
        <w:rPr>
          <w:rFonts w:ascii="Arial" w:eastAsia="Arial" w:hAnsi="Arial" w:cs="Arial"/>
          <w:bCs/>
          <w:sz w:val="22"/>
          <w:szCs w:val="22"/>
        </w:rPr>
        <w:t xml:space="preserve">urs homologues établis dans </w:t>
      </w:r>
      <w:r w:rsidR="00545F99">
        <w:rPr>
          <w:rFonts w:ascii="Arial" w:eastAsia="Arial" w:hAnsi="Arial" w:cs="Arial"/>
          <w:bCs/>
          <w:sz w:val="22"/>
          <w:szCs w:val="22"/>
        </w:rPr>
        <w:t xml:space="preserve">les </w:t>
      </w:r>
      <w:r w:rsidR="00132945" w:rsidRPr="00994C08">
        <w:rPr>
          <w:rFonts w:ascii="Arial" w:eastAsia="Arial" w:hAnsi="Arial" w:cs="Arial"/>
          <w:bCs/>
          <w:sz w:val="22"/>
          <w:szCs w:val="22"/>
        </w:rPr>
        <w:t>18</w:t>
      </w:r>
      <w:r w:rsidR="00CA2982" w:rsidRPr="00994C08">
        <w:rPr>
          <w:rFonts w:ascii="Arial" w:eastAsia="Arial" w:hAnsi="Arial" w:cs="Arial"/>
          <w:bCs/>
          <w:sz w:val="22"/>
          <w:szCs w:val="22"/>
        </w:rPr>
        <w:t xml:space="preserve"> </w:t>
      </w:r>
      <w:r w:rsidR="00F21C4A" w:rsidRPr="00994C08">
        <w:rPr>
          <w:rFonts w:ascii="Arial" w:eastAsia="Arial" w:hAnsi="Arial" w:cs="Arial"/>
          <w:bCs/>
          <w:sz w:val="22"/>
          <w:szCs w:val="22"/>
        </w:rPr>
        <w:t>autres Etats membres connaissant le groupe TVA.</w:t>
      </w:r>
    </w:p>
    <w:p w:rsidR="00F21C4A" w:rsidRPr="00994C08" w:rsidRDefault="00F21C4A" w:rsidP="00C124F9">
      <w:pPr>
        <w:pStyle w:val="Body"/>
        <w:keepNext/>
        <w:keepLines/>
        <w:jc w:val="both"/>
        <w:rPr>
          <w:rFonts w:ascii="Arial" w:eastAsia="Arial" w:hAnsi="Arial" w:cs="Arial"/>
          <w:bCs/>
          <w:sz w:val="22"/>
          <w:szCs w:val="22"/>
        </w:rPr>
      </w:pPr>
    </w:p>
    <w:sectPr w:rsidR="00F21C4A" w:rsidRPr="00994C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56" w:rsidRDefault="00BF5856" w:rsidP="005A0179">
      <w:pPr>
        <w:spacing w:after="0" w:line="240" w:lineRule="auto"/>
      </w:pPr>
      <w:r>
        <w:separator/>
      </w:r>
    </w:p>
  </w:endnote>
  <w:endnote w:type="continuationSeparator" w:id="0">
    <w:p w:rsidR="00BF5856" w:rsidRDefault="00BF5856" w:rsidP="005A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99" w:rsidRPr="005A0179" w:rsidRDefault="00545F99">
    <w:pPr>
      <w:pStyle w:val="Pieddepage"/>
      <w:jc w:val="center"/>
      <w:rPr>
        <w:rFonts w:ascii="Arial" w:hAnsi="Arial" w:cs="Arial"/>
        <w:sz w:val="20"/>
        <w:szCs w:val="20"/>
      </w:rPr>
    </w:pPr>
    <w:r w:rsidRPr="005A0179">
      <w:rPr>
        <w:rFonts w:ascii="Arial" w:hAnsi="Arial" w:cs="Arial"/>
        <w:sz w:val="20"/>
        <w:szCs w:val="20"/>
      </w:rPr>
      <w:fldChar w:fldCharType="begin"/>
    </w:r>
    <w:r w:rsidR="006C68B6">
      <w:rPr>
        <w:rFonts w:ascii="Arial" w:hAnsi="Arial" w:cs="Arial"/>
        <w:sz w:val="20"/>
        <w:szCs w:val="20"/>
      </w:rPr>
      <w:instrText>PAGE</w:instrText>
    </w:r>
    <w:r w:rsidRPr="005A0179">
      <w:rPr>
        <w:rFonts w:ascii="Arial" w:hAnsi="Arial" w:cs="Arial"/>
        <w:sz w:val="20"/>
        <w:szCs w:val="20"/>
      </w:rPr>
      <w:instrText xml:space="preserve">   \* MERGEFORMAT</w:instrText>
    </w:r>
    <w:r w:rsidRPr="005A0179">
      <w:rPr>
        <w:rFonts w:ascii="Arial" w:hAnsi="Arial" w:cs="Arial"/>
        <w:sz w:val="20"/>
        <w:szCs w:val="20"/>
      </w:rPr>
      <w:fldChar w:fldCharType="separate"/>
    </w:r>
    <w:r w:rsidR="0051113F" w:rsidRPr="0051113F">
      <w:rPr>
        <w:rFonts w:ascii="Arial" w:hAnsi="Arial" w:cs="Arial"/>
        <w:noProof/>
        <w:sz w:val="20"/>
        <w:szCs w:val="20"/>
        <w:lang w:val="fr-FR"/>
      </w:rPr>
      <w:t>1</w:t>
    </w:r>
    <w:r w:rsidRPr="005A0179">
      <w:rPr>
        <w:rFonts w:ascii="Arial" w:hAnsi="Arial" w:cs="Arial"/>
        <w:sz w:val="20"/>
        <w:szCs w:val="20"/>
      </w:rPr>
      <w:fldChar w:fldCharType="end"/>
    </w:r>
  </w:p>
  <w:p w:rsidR="00545F99" w:rsidRDefault="00545F9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56" w:rsidRDefault="00BF5856" w:rsidP="005A0179">
      <w:pPr>
        <w:spacing w:after="0" w:line="240" w:lineRule="auto"/>
      </w:pPr>
      <w:r>
        <w:separator/>
      </w:r>
    </w:p>
  </w:footnote>
  <w:footnote w:type="continuationSeparator" w:id="0">
    <w:p w:rsidR="00BF5856" w:rsidRDefault="00BF5856" w:rsidP="005A0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10B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C50956"/>
    <w:multiLevelType w:val="hybridMultilevel"/>
    <w:tmpl w:val="B2B41D7C"/>
    <w:lvl w:ilvl="0" w:tplc="FD1A7FFE">
      <w:start w:val="1"/>
      <w:numFmt w:val="decimal"/>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5" w15:restartNumberingAfterBreak="0">
    <w:nsid w:val="565C5995"/>
    <w:multiLevelType w:val="hybridMultilevel"/>
    <w:tmpl w:val="4E268A60"/>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4145B"/>
    <w:multiLevelType w:val="hybridMultilevel"/>
    <w:tmpl w:val="78C47D98"/>
    <w:lvl w:ilvl="0" w:tplc="15BC1D2C">
      <w:numFmt w:val="bullet"/>
      <w:lvlText w:val="-"/>
      <w:lvlJc w:val="left"/>
      <w:pPr>
        <w:ind w:left="720" w:hanging="360"/>
      </w:pPr>
      <w:rPr>
        <w:rFonts w:ascii="Calibri" w:eastAsia="Calibri" w:hAnsi="Calibri"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73B72B8"/>
    <w:multiLevelType w:val="hybridMultilevel"/>
    <w:tmpl w:val="15F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10"/>
  </w:num>
  <w:num w:numId="8">
    <w:abstractNumId w:val="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3619E"/>
    <w:rsid w:val="000762ED"/>
    <w:rsid w:val="00080C51"/>
    <w:rsid w:val="000D5695"/>
    <w:rsid w:val="000D5A42"/>
    <w:rsid w:val="000E5B7F"/>
    <w:rsid w:val="0010111B"/>
    <w:rsid w:val="00113F00"/>
    <w:rsid w:val="00132945"/>
    <w:rsid w:val="00161F7F"/>
    <w:rsid w:val="0021465C"/>
    <w:rsid w:val="00224041"/>
    <w:rsid w:val="00224BE4"/>
    <w:rsid w:val="002750A4"/>
    <w:rsid w:val="002851C5"/>
    <w:rsid w:val="002B5408"/>
    <w:rsid w:val="002B791E"/>
    <w:rsid w:val="002F0ADB"/>
    <w:rsid w:val="002F3B16"/>
    <w:rsid w:val="00306EB6"/>
    <w:rsid w:val="0030786D"/>
    <w:rsid w:val="003F5E23"/>
    <w:rsid w:val="00457E34"/>
    <w:rsid w:val="0048792B"/>
    <w:rsid w:val="004942AF"/>
    <w:rsid w:val="00495E9F"/>
    <w:rsid w:val="004964EE"/>
    <w:rsid w:val="004C2FA1"/>
    <w:rsid w:val="004D29B9"/>
    <w:rsid w:val="004E1B32"/>
    <w:rsid w:val="005105CE"/>
    <w:rsid w:val="0051113F"/>
    <w:rsid w:val="005163C5"/>
    <w:rsid w:val="00545F99"/>
    <w:rsid w:val="005735E4"/>
    <w:rsid w:val="00582CF6"/>
    <w:rsid w:val="005A0179"/>
    <w:rsid w:val="005A645F"/>
    <w:rsid w:val="005B5C56"/>
    <w:rsid w:val="0066422C"/>
    <w:rsid w:val="00681BF1"/>
    <w:rsid w:val="006B2D00"/>
    <w:rsid w:val="006C68B6"/>
    <w:rsid w:val="00702925"/>
    <w:rsid w:val="00715558"/>
    <w:rsid w:val="007265A3"/>
    <w:rsid w:val="00744F89"/>
    <w:rsid w:val="00752348"/>
    <w:rsid w:val="007942C7"/>
    <w:rsid w:val="007A2F2C"/>
    <w:rsid w:val="007A3FA0"/>
    <w:rsid w:val="007D5362"/>
    <w:rsid w:val="007E68A9"/>
    <w:rsid w:val="00815756"/>
    <w:rsid w:val="00860178"/>
    <w:rsid w:val="00880185"/>
    <w:rsid w:val="008831B5"/>
    <w:rsid w:val="00885522"/>
    <w:rsid w:val="00895447"/>
    <w:rsid w:val="008E03F5"/>
    <w:rsid w:val="00901DA7"/>
    <w:rsid w:val="009278CA"/>
    <w:rsid w:val="00970B81"/>
    <w:rsid w:val="00976BF9"/>
    <w:rsid w:val="00980CBA"/>
    <w:rsid w:val="00994C08"/>
    <w:rsid w:val="009C0799"/>
    <w:rsid w:val="009D3856"/>
    <w:rsid w:val="00A11196"/>
    <w:rsid w:val="00A600EA"/>
    <w:rsid w:val="00A63AE6"/>
    <w:rsid w:val="00A86398"/>
    <w:rsid w:val="00AB31D4"/>
    <w:rsid w:val="00B03BD1"/>
    <w:rsid w:val="00BF0A69"/>
    <w:rsid w:val="00BF5856"/>
    <w:rsid w:val="00C124F9"/>
    <w:rsid w:val="00C24E93"/>
    <w:rsid w:val="00C50814"/>
    <w:rsid w:val="00C8494D"/>
    <w:rsid w:val="00C91CE1"/>
    <w:rsid w:val="00CA2982"/>
    <w:rsid w:val="00CE7012"/>
    <w:rsid w:val="00D14792"/>
    <w:rsid w:val="00D400F1"/>
    <w:rsid w:val="00D547AD"/>
    <w:rsid w:val="00D55DFA"/>
    <w:rsid w:val="00D607AE"/>
    <w:rsid w:val="00D752D4"/>
    <w:rsid w:val="00DC2A88"/>
    <w:rsid w:val="00DE30E5"/>
    <w:rsid w:val="00E02A9D"/>
    <w:rsid w:val="00E072B7"/>
    <w:rsid w:val="00E123B1"/>
    <w:rsid w:val="00E2304F"/>
    <w:rsid w:val="00E45AC4"/>
    <w:rsid w:val="00E842D2"/>
    <w:rsid w:val="00E93021"/>
    <w:rsid w:val="00E9686A"/>
    <w:rsid w:val="00EB2727"/>
    <w:rsid w:val="00EC0B3D"/>
    <w:rsid w:val="00ED4757"/>
    <w:rsid w:val="00F15F71"/>
    <w:rsid w:val="00F21C4A"/>
    <w:rsid w:val="00F60E44"/>
    <w:rsid w:val="00F8499E"/>
    <w:rsid w:val="00F962CC"/>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48B4D9-0C24-4439-AB2B-410F5356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Listecouleur-Accent1">
    <w:name w:val="Colorful List Accent 1"/>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5A0179"/>
    <w:pPr>
      <w:tabs>
        <w:tab w:val="center" w:pos="4536"/>
        <w:tab w:val="right" w:pos="9072"/>
      </w:tabs>
    </w:pPr>
  </w:style>
  <w:style w:type="character" w:customStyle="1" w:styleId="En-tteCar">
    <w:name w:val="En-tête Car"/>
    <w:link w:val="En-tte"/>
    <w:uiPriority w:val="99"/>
    <w:rsid w:val="005A0179"/>
    <w:rPr>
      <w:sz w:val="22"/>
      <w:szCs w:val="22"/>
      <w:lang w:eastAsia="en-US"/>
    </w:rPr>
  </w:style>
  <w:style w:type="paragraph" w:styleId="Pieddepage">
    <w:name w:val="footer"/>
    <w:basedOn w:val="Normal"/>
    <w:link w:val="PieddepageCar"/>
    <w:uiPriority w:val="99"/>
    <w:unhideWhenUsed/>
    <w:rsid w:val="005A0179"/>
    <w:pPr>
      <w:tabs>
        <w:tab w:val="center" w:pos="4536"/>
        <w:tab w:val="right" w:pos="9072"/>
      </w:tabs>
    </w:pPr>
  </w:style>
  <w:style w:type="character" w:customStyle="1" w:styleId="PieddepageCar">
    <w:name w:val="Pied de page Car"/>
    <w:link w:val="Pieddepage"/>
    <w:uiPriority w:val="99"/>
    <w:rsid w:val="005A0179"/>
    <w:rPr>
      <w:sz w:val="22"/>
      <w:szCs w:val="22"/>
      <w:lang w:eastAsia="en-US"/>
    </w:rPr>
  </w:style>
  <w:style w:type="character" w:customStyle="1" w:styleId="NotedebasdepageCar">
    <w:name w:val="Note de bas de page Car"/>
    <w:link w:val="Notedebasdepage"/>
    <w:uiPriority w:val="99"/>
    <w:qFormat/>
    <w:rsid w:val="0003619E"/>
    <w:rPr>
      <w:rFonts w:ascii="Times New Roman" w:eastAsia="Times New Roman" w:hAnsi="Times New Roman"/>
      <w:lang w:val="fr-FR" w:eastAsia="fr-FR"/>
    </w:rPr>
  </w:style>
  <w:style w:type="character" w:styleId="Appelnotedebasdep">
    <w:name w:val="footnote reference"/>
    <w:uiPriority w:val="99"/>
    <w:unhideWhenUsed/>
    <w:qFormat/>
    <w:rsid w:val="0003619E"/>
    <w:rPr>
      <w:vertAlign w:val="superscript"/>
    </w:rPr>
  </w:style>
  <w:style w:type="paragraph" w:styleId="Notedebasdepage">
    <w:name w:val="footnote text"/>
    <w:basedOn w:val="Normal"/>
    <w:link w:val="NotedebasdepageCar"/>
    <w:uiPriority w:val="99"/>
    <w:rsid w:val="0003619E"/>
    <w:pPr>
      <w:spacing w:after="200" w:line="276" w:lineRule="auto"/>
    </w:pPr>
    <w:rPr>
      <w:rFonts w:ascii="Times New Roman" w:eastAsia="Times New Roman" w:hAnsi="Times New Roman"/>
      <w:sz w:val="20"/>
      <w:szCs w:val="20"/>
      <w:lang w:val="fr-FR" w:eastAsia="fr-FR"/>
    </w:rPr>
  </w:style>
  <w:style w:type="character" w:customStyle="1" w:styleId="NotedebasdepageCar1">
    <w:name w:val="Note de bas de page Car1"/>
    <w:uiPriority w:val="99"/>
    <w:semiHidden/>
    <w:rsid w:val="0003619E"/>
    <w:rPr>
      <w:lang w:eastAsia="en-US"/>
    </w:rPr>
  </w:style>
  <w:style w:type="paragraph" w:styleId="Paragraphedeliste">
    <w:name w:val="List Paragraph"/>
    <w:basedOn w:val="Normal"/>
    <w:uiPriority w:val="34"/>
    <w:qFormat/>
    <w:rsid w:val="0003619E"/>
    <w:pPr>
      <w:spacing w:after="0" w:line="240" w:lineRule="auto"/>
      <w:ind w:left="720"/>
      <w:contextualSpacing/>
    </w:pPr>
    <w:rPr>
      <w:rFonts w:ascii="Times New Roman" w:eastAsia="Times New Roman" w:hAnsi="Times New Roman"/>
      <w:sz w:val="24"/>
      <w:szCs w:val="24"/>
      <w:lang w:val="fr-FR" w:eastAsia="fr-FR"/>
    </w:rPr>
  </w:style>
  <w:style w:type="character" w:styleId="Lienhypertexte">
    <w:name w:val="Hyperlink"/>
    <w:uiPriority w:val="99"/>
    <w:unhideWhenUsed/>
    <w:rsid w:val="0003619E"/>
    <w:rPr>
      <w:color w:val="0000FF"/>
      <w:u w:val="single"/>
    </w:rPr>
  </w:style>
  <w:style w:type="paragraph" w:styleId="Sansinterligne">
    <w:name w:val="No Spacing"/>
    <w:uiPriority w:val="1"/>
    <w:qFormat/>
    <w:rsid w:val="0003619E"/>
    <w:pPr>
      <w:autoSpaceDE w:val="0"/>
      <w:autoSpaceDN w:val="0"/>
    </w:pPr>
    <w:rPr>
      <w:rFonts w:ascii="Times New Roman" w:eastAsia="Times New Roman" w:hAnsi="Times New Roman"/>
      <w:lang w:val="fr-FR" w:eastAsia="fr-FR"/>
    </w:rPr>
  </w:style>
  <w:style w:type="paragraph" w:styleId="Textedebulles">
    <w:name w:val="Balloon Text"/>
    <w:basedOn w:val="Normal"/>
    <w:link w:val="TextedebullesCar"/>
    <w:uiPriority w:val="99"/>
    <w:semiHidden/>
    <w:unhideWhenUsed/>
    <w:rsid w:val="0022404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22404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96499">
      <w:bodyDiv w:val="1"/>
      <w:marLeft w:val="0"/>
      <w:marRight w:val="0"/>
      <w:marTop w:val="0"/>
      <w:marBottom w:val="0"/>
      <w:divBdr>
        <w:top w:val="none" w:sz="0" w:space="0" w:color="auto"/>
        <w:left w:val="none" w:sz="0" w:space="0" w:color="auto"/>
        <w:bottom w:val="none" w:sz="0" w:space="0" w:color="auto"/>
        <w:right w:val="none" w:sz="0" w:space="0" w:color="auto"/>
      </w:divBdr>
      <w:divsChild>
        <w:div w:id="307906866">
          <w:marLeft w:val="0"/>
          <w:marRight w:val="0"/>
          <w:marTop w:val="0"/>
          <w:marBottom w:val="0"/>
          <w:divBdr>
            <w:top w:val="none" w:sz="0" w:space="0" w:color="auto"/>
            <w:left w:val="none" w:sz="0" w:space="0" w:color="auto"/>
            <w:bottom w:val="none" w:sz="0" w:space="0" w:color="auto"/>
            <w:right w:val="none" w:sz="0" w:space="0" w:color="auto"/>
          </w:divBdr>
        </w:div>
        <w:div w:id="821972433">
          <w:marLeft w:val="0"/>
          <w:marRight w:val="0"/>
          <w:marTop w:val="0"/>
          <w:marBottom w:val="0"/>
          <w:divBdr>
            <w:top w:val="none" w:sz="0" w:space="0" w:color="auto"/>
            <w:left w:val="none" w:sz="0" w:space="0" w:color="auto"/>
            <w:bottom w:val="none" w:sz="0" w:space="0" w:color="auto"/>
            <w:right w:val="none" w:sz="0" w:space="0" w:color="auto"/>
          </w:divBdr>
        </w:div>
        <w:div w:id="1026951623">
          <w:marLeft w:val="0"/>
          <w:marRight w:val="0"/>
          <w:marTop w:val="0"/>
          <w:marBottom w:val="0"/>
          <w:divBdr>
            <w:top w:val="none" w:sz="0" w:space="0" w:color="auto"/>
            <w:left w:val="none" w:sz="0" w:space="0" w:color="auto"/>
            <w:bottom w:val="none" w:sz="0" w:space="0" w:color="auto"/>
            <w:right w:val="none" w:sz="0" w:space="0" w:color="auto"/>
          </w:divBdr>
        </w:div>
        <w:div w:id="1048647701">
          <w:marLeft w:val="0"/>
          <w:marRight w:val="0"/>
          <w:marTop w:val="0"/>
          <w:marBottom w:val="0"/>
          <w:divBdr>
            <w:top w:val="none" w:sz="0" w:space="0" w:color="auto"/>
            <w:left w:val="none" w:sz="0" w:space="0" w:color="auto"/>
            <w:bottom w:val="none" w:sz="0" w:space="0" w:color="auto"/>
            <w:right w:val="none" w:sz="0" w:space="0" w:color="auto"/>
          </w:divBdr>
        </w:div>
        <w:div w:id="1173758797">
          <w:marLeft w:val="0"/>
          <w:marRight w:val="0"/>
          <w:marTop w:val="0"/>
          <w:marBottom w:val="0"/>
          <w:divBdr>
            <w:top w:val="none" w:sz="0" w:space="0" w:color="auto"/>
            <w:left w:val="none" w:sz="0" w:space="0" w:color="auto"/>
            <w:bottom w:val="none" w:sz="0" w:space="0" w:color="auto"/>
            <w:right w:val="none" w:sz="0" w:space="0" w:color="auto"/>
          </w:divBdr>
        </w:div>
        <w:div w:id="1257519653">
          <w:marLeft w:val="0"/>
          <w:marRight w:val="0"/>
          <w:marTop w:val="0"/>
          <w:marBottom w:val="0"/>
          <w:divBdr>
            <w:top w:val="none" w:sz="0" w:space="0" w:color="auto"/>
            <w:left w:val="none" w:sz="0" w:space="0" w:color="auto"/>
            <w:bottom w:val="none" w:sz="0" w:space="0" w:color="auto"/>
            <w:right w:val="none" w:sz="0" w:space="0" w:color="auto"/>
          </w:divBdr>
        </w:div>
        <w:div w:id="1554082168">
          <w:marLeft w:val="0"/>
          <w:marRight w:val="0"/>
          <w:marTop w:val="0"/>
          <w:marBottom w:val="0"/>
          <w:divBdr>
            <w:top w:val="none" w:sz="0" w:space="0" w:color="auto"/>
            <w:left w:val="none" w:sz="0" w:space="0" w:color="auto"/>
            <w:bottom w:val="none" w:sz="0" w:space="0" w:color="auto"/>
            <w:right w:val="none" w:sz="0" w:space="0" w:color="auto"/>
          </w:divBdr>
        </w:div>
        <w:div w:id="1567954253">
          <w:marLeft w:val="0"/>
          <w:marRight w:val="0"/>
          <w:marTop w:val="0"/>
          <w:marBottom w:val="0"/>
          <w:divBdr>
            <w:top w:val="none" w:sz="0" w:space="0" w:color="auto"/>
            <w:left w:val="none" w:sz="0" w:space="0" w:color="auto"/>
            <w:bottom w:val="none" w:sz="0" w:space="0" w:color="auto"/>
            <w:right w:val="none" w:sz="0" w:space="0" w:color="auto"/>
          </w:divBdr>
        </w:div>
        <w:div w:id="1604805434">
          <w:marLeft w:val="0"/>
          <w:marRight w:val="0"/>
          <w:marTop w:val="0"/>
          <w:marBottom w:val="0"/>
          <w:divBdr>
            <w:top w:val="none" w:sz="0" w:space="0" w:color="auto"/>
            <w:left w:val="none" w:sz="0" w:space="0" w:color="auto"/>
            <w:bottom w:val="none" w:sz="0" w:space="0" w:color="auto"/>
            <w:right w:val="none" w:sz="0" w:space="0" w:color="auto"/>
          </w:divBdr>
        </w:div>
        <w:div w:id="1699045051">
          <w:marLeft w:val="0"/>
          <w:marRight w:val="0"/>
          <w:marTop w:val="0"/>
          <w:marBottom w:val="0"/>
          <w:divBdr>
            <w:top w:val="none" w:sz="0" w:space="0" w:color="auto"/>
            <w:left w:val="none" w:sz="0" w:space="0" w:color="auto"/>
            <w:bottom w:val="none" w:sz="0" w:space="0" w:color="auto"/>
            <w:right w:val="none" w:sz="0" w:space="0" w:color="auto"/>
          </w:divBdr>
        </w:div>
        <w:div w:id="1791436337">
          <w:marLeft w:val="0"/>
          <w:marRight w:val="0"/>
          <w:marTop w:val="0"/>
          <w:marBottom w:val="0"/>
          <w:divBdr>
            <w:top w:val="none" w:sz="0" w:space="0" w:color="auto"/>
            <w:left w:val="none" w:sz="0" w:space="0" w:color="auto"/>
            <w:bottom w:val="none" w:sz="0" w:space="0" w:color="auto"/>
            <w:right w:val="none" w:sz="0" w:space="0" w:color="auto"/>
          </w:divBdr>
        </w:div>
        <w:div w:id="2100759188">
          <w:marLeft w:val="0"/>
          <w:marRight w:val="0"/>
          <w:marTop w:val="0"/>
          <w:marBottom w:val="0"/>
          <w:divBdr>
            <w:top w:val="none" w:sz="0" w:space="0" w:color="auto"/>
            <w:left w:val="none" w:sz="0" w:space="0" w:color="auto"/>
            <w:bottom w:val="none" w:sz="0" w:space="0" w:color="auto"/>
            <w:right w:val="none" w:sz="0" w:space="0" w:color="auto"/>
          </w:divBdr>
        </w:div>
      </w:divsChild>
    </w:div>
    <w:div w:id="1320037497">
      <w:bodyDiv w:val="1"/>
      <w:marLeft w:val="0"/>
      <w:marRight w:val="0"/>
      <w:marTop w:val="0"/>
      <w:marBottom w:val="0"/>
      <w:divBdr>
        <w:top w:val="none" w:sz="0" w:space="0" w:color="auto"/>
        <w:left w:val="none" w:sz="0" w:space="0" w:color="auto"/>
        <w:bottom w:val="none" w:sz="0" w:space="0" w:color="auto"/>
        <w:right w:val="none" w:sz="0" w:space="0" w:color="auto"/>
      </w:divBdr>
      <w:divsChild>
        <w:div w:id="88047015">
          <w:marLeft w:val="0"/>
          <w:marRight w:val="0"/>
          <w:marTop w:val="0"/>
          <w:marBottom w:val="0"/>
          <w:divBdr>
            <w:top w:val="none" w:sz="0" w:space="0" w:color="auto"/>
            <w:left w:val="none" w:sz="0" w:space="0" w:color="auto"/>
            <w:bottom w:val="none" w:sz="0" w:space="0" w:color="auto"/>
            <w:right w:val="none" w:sz="0" w:space="0" w:color="auto"/>
          </w:divBdr>
        </w:div>
        <w:div w:id="293944762">
          <w:marLeft w:val="0"/>
          <w:marRight w:val="0"/>
          <w:marTop w:val="0"/>
          <w:marBottom w:val="0"/>
          <w:divBdr>
            <w:top w:val="none" w:sz="0" w:space="0" w:color="auto"/>
            <w:left w:val="none" w:sz="0" w:space="0" w:color="auto"/>
            <w:bottom w:val="none" w:sz="0" w:space="0" w:color="auto"/>
            <w:right w:val="none" w:sz="0" w:space="0" w:color="auto"/>
          </w:divBdr>
        </w:div>
        <w:div w:id="407969927">
          <w:marLeft w:val="0"/>
          <w:marRight w:val="0"/>
          <w:marTop w:val="0"/>
          <w:marBottom w:val="0"/>
          <w:divBdr>
            <w:top w:val="none" w:sz="0" w:space="0" w:color="auto"/>
            <w:left w:val="none" w:sz="0" w:space="0" w:color="auto"/>
            <w:bottom w:val="none" w:sz="0" w:space="0" w:color="auto"/>
            <w:right w:val="none" w:sz="0" w:space="0" w:color="auto"/>
          </w:divBdr>
        </w:div>
        <w:div w:id="433284583">
          <w:marLeft w:val="0"/>
          <w:marRight w:val="0"/>
          <w:marTop w:val="0"/>
          <w:marBottom w:val="0"/>
          <w:divBdr>
            <w:top w:val="none" w:sz="0" w:space="0" w:color="auto"/>
            <w:left w:val="none" w:sz="0" w:space="0" w:color="auto"/>
            <w:bottom w:val="none" w:sz="0" w:space="0" w:color="auto"/>
            <w:right w:val="none" w:sz="0" w:space="0" w:color="auto"/>
          </w:divBdr>
        </w:div>
        <w:div w:id="522212407">
          <w:marLeft w:val="0"/>
          <w:marRight w:val="0"/>
          <w:marTop w:val="0"/>
          <w:marBottom w:val="0"/>
          <w:divBdr>
            <w:top w:val="none" w:sz="0" w:space="0" w:color="auto"/>
            <w:left w:val="none" w:sz="0" w:space="0" w:color="auto"/>
            <w:bottom w:val="none" w:sz="0" w:space="0" w:color="auto"/>
            <w:right w:val="none" w:sz="0" w:space="0" w:color="auto"/>
          </w:divBdr>
        </w:div>
        <w:div w:id="1464077924">
          <w:marLeft w:val="0"/>
          <w:marRight w:val="0"/>
          <w:marTop w:val="0"/>
          <w:marBottom w:val="0"/>
          <w:divBdr>
            <w:top w:val="none" w:sz="0" w:space="0" w:color="auto"/>
            <w:left w:val="none" w:sz="0" w:space="0" w:color="auto"/>
            <w:bottom w:val="none" w:sz="0" w:space="0" w:color="auto"/>
            <w:right w:val="none" w:sz="0" w:space="0" w:color="auto"/>
          </w:divBdr>
        </w:div>
        <w:div w:id="1668556743">
          <w:marLeft w:val="0"/>
          <w:marRight w:val="0"/>
          <w:marTop w:val="0"/>
          <w:marBottom w:val="0"/>
          <w:divBdr>
            <w:top w:val="none" w:sz="0" w:space="0" w:color="auto"/>
            <w:left w:val="none" w:sz="0" w:space="0" w:color="auto"/>
            <w:bottom w:val="none" w:sz="0" w:space="0" w:color="auto"/>
            <w:right w:val="none" w:sz="0" w:space="0" w:color="auto"/>
          </w:divBdr>
        </w:div>
        <w:div w:id="2062557158">
          <w:marLeft w:val="0"/>
          <w:marRight w:val="0"/>
          <w:marTop w:val="0"/>
          <w:marBottom w:val="0"/>
          <w:divBdr>
            <w:top w:val="none" w:sz="0" w:space="0" w:color="auto"/>
            <w:left w:val="none" w:sz="0" w:space="0" w:color="auto"/>
            <w:bottom w:val="none" w:sz="0" w:space="0" w:color="auto"/>
            <w:right w:val="none" w:sz="0" w:space="0" w:color="auto"/>
          </w:divBdr>
        </w:div>
      </w:divsChild>
    </w:div>
    <w:div w:id="1475948745">
      <w:bodyDiv w:val="1"/>
      <w:marLeft w:val="0"/>
      <w:marRight w:val="0"/>
      <w:marTop w:val="0"/>
      <w:marBottom w:val="0"/>
      <w:divBdr>
        <w:top w:val="none" w:sz="0" w:space="0" w:color="auto"/>
        <w:left w:val="none" w:sz="0" w:space="0" w:color="auto"/>
        <w:bottom w:val="none" w:sz="0" w:space="0" w:color="auto"/>
        <w:right w:val="none" w:sz="0" w:space="0" w:color="auto"/>
      </w:divBdr>
      <w:divsChild>
        <w:div w:id="99230089">
          <w:marLeft w:val="0"/>
          <w:marRight w:val="0"/>
          <w:marTop w:val="0"/>
          <w:marBottom w:val="0"/>
          <w:divBdr>
            <w:top w:val="none" w:sz="0" w:space="0" w:color="auto"/>
            <w:left w:val="none" w:sz="0" w:space="0" w:color="auto"/>
            <w:bottom w:val="none" w:sz="0" w:space="0" w:color="auto"/>
            <w:right w:val="none" w:sz="0" w:space="0" w:color="auto"/>
          </w:divBdr>
        </w:div>
        <w:div w:id="403064375">
          <w:marLeft w:val="0"/>
          <w:marRight w:val="0"/>
          <w:marTop w:val="0"/>
          <w:marBottom w:val="0"/>
          <w:divBdr>
            <w:top w:val="none" w:sz="0" w:space="0" w:color="auto"/>
            <w:left w:val="none" w:sz="0" w:space="0" w:color="auto"/>
            <w:bottom w:val="none" w:sz="0" w:space="0" w:color="auto"/>
            <w:right w:val="none" w:sz="0" w:space="0" w:color="auto"/>
          </w:divBdr>
        </w:div>
        <w:div w:id="437681056">
          <w:marLeft w:val="0"/>
          <w:marRight w:val="0"/>
          <w:marTop w:val="0"/>
          <w:marBottom w:val="0"/>
          <w:divBdr>
            <w:top w:val="none" w:sz="0" w:space="0" w:color="auto"/>
            <w:left w:val="none" w:sz="0" w:space="0" w:color="auto"/>
            <w:bottom w:val="none" w:sz="0" w:space="0" w:color="auto"/>
            <w:right w:val="none" w:sz="0" w:space="0" w:color="auto"/>
          </w:divBdr>
        </w:div>
        <w:div w:id="638652566">
          <w:marLeft w:val="0"/>
          <w:marRight w:val="0"/>
          <w:marTop w:val="0"/>
          <w:marBottom w:val="0"/>
          <w:divBdr>
            <w:top w:val="none" w:sz="0" w:space="0" w:color="auto"/>
            <w:left w:val="none" w:sz="0" w:space="0" w:color="auto"/>
            <w:bottom w:val="none" w:sz="0" w:space="0" w:color="auto"/>
            <w:right w:val="none" w:sz="0" w:space="0" w:color="auto"/>
          </w:divBdr>
        </w:div>
        <w:div w:id="982153949">
          <w:marLeft w:val="0"/>
          <w:marRight w:val="0"/>
          <w:marTop w:val="0"/>
          <w:marBottom w:val="0"/>
          <w:divBdr>
            <w:top w:val="none" w:sz="0" w:space="0" w:color="auto"/>
            <w:left w:val="none" w:sz="0" w:space="0" w:color="auto"/>
            <w:bottom w:val="none" w:sz="0" w:space="0" w:color="auto"/>
            <w:right w:val="none" w:sz="0" w:space="0" w:color="auto"/>
          </w:divBdr>
        </w:div>
        <w:div w:id="1348481654">
          <w:marLeft w:val="0"/>
          <w:marRight w:val="0"/>
          <w:marTop w:val="0"/>
          <w:marBottom w:val="0"/>
          <w:divBdr>
            <w:top w:val="none" w:sz="0" w:space="0" w:color="auto"/>
            <w:left w:val="none" w:sz="0" w:space="0" w:color="auto"/>
            <w:bottom w:val="none" w:sz="0" w:space="0" w:color="auto"/>
            <w:right w:val="none" w:sz="0" w:space="0" w:color="auto"/>
          </w:divBdr>
        </w:div>
        <w:div w:id="1505511914">
          <w:marLeft w:val="0"/>
          <w:marRight w:val="0"/>
          <w:marTop w:val="0"/>
          <w:marBottom w:val="0"/>
          <w:divBdr>
            <w:top w:val="none" w:sz="0" w:space="0" w:color="auto"/>
            <w:left w:val="none" w:sz="0" w:space="0" w:color="auto"/>
            <w:bottom w:val="none" w:sz="0" w:space="0" w:color="auto"/>
            <w:right w:val="none" w:sz="0" w:space="0" w:color="auto"/>
          </w:divBdr>
        </w:div>
        <w:div w:id="190356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0A4449A-584B-4F81-AAE6-4B6B3DA4A3B9}"/>
</file>

<file path=customXml/itemProps2.xml><?xml version="1.0" encoding="utf-8"?>
<ds:datastoreItem xmlns:ds="http://schemas.openxmlformats.org/officeDocument/2006/customXml" ds:itemID="{412E1E46-7B17-460D-958E-EB69E55D13D1}"/>
</file>

<file path=customXml/itemProps3.xml><?xml version="1.0" encoding="utf-8"?>
<ds:datastoreItem xmlns:ds="http://schemas.openxmlformats.org/officeDocument/2006/customXml" ds:itemID="{7A3E2753-8AB2-4084-9A34-E6B4465443BA}"/>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1656</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2018-07-14T11:08:00Z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