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5F" w:rsidRPr="009B585F" w:rsidRDefault="009B585F" w:rsidP="009B585F">
      <w:pPr>
        <w:spacing w:after="0" w:line="240" w:lineRule="auto"/>
        <w:jc w:val="center"/>
        <w:rPr>
          <w:rFonts w:ascii="Arial" w:eastAsia="Times New Roman" w:hAnsi="Arial"/>
          <w:b/>
          <w:lang w:val="fr-FR" w:eastAsia="fr-FR"/>
        </w:rPr>
      </w:pPr>
      <w:bookmarkStart w:id="0" w:name="_GoBack"/>
      <w:bookmarkEnd w:id="0"/>
      <w:r w:rsidRPr="009B585F">
        <w:rPr>
          <w:rFonts w:ascii="Arial" w:eastAsia="Times New Roman" w:hAnsi="Arial"/>
          <w:b/>
          <w:lang w:val="fr-FR" w:eastAsia="fr-FR"/>
        </w:rPr>
        <w:t>N° 7271</w:t>
      </w:r>
    </w:p>
    <w:p w:rsidR="009B585F" w:rsidRDefault="009B585F" w:rsidP="009B585F">
      <w:pPr>
        <w:spacing w:after="0" w:line="240" w:lineRule="auto"/>
        <w:jc w:val="center"/>
        <w:rPr>
          <w:rFonts w:ascii="Arial" w:eastAsia="Times New Roman" w:hAnsi="Arial"/>
          <w:lang w:val="fr-FR" w:eastAsia="fr-FR"/>
        </w:rPr>
      </w:pPr>
    </w:p>
    <w:p w:rsidR="009B585F" w:rsidRDefault="009B585F" w:rsidP="009B585F">
      <w:pPr>
        <w:spacing w:after="0" w:line="240" w:lineRule="auto"/>
        <w:jc w:val="center"/>
        <w:rPr>
          <w:rFonts w:ascii="Arial" w:eastAsia="Times New Roman" w:hAnsi="Arial"/>
          <w:b/>
          <w:lang w:val="fr-FR" w:eastAsia="fr-FR"/>
        </w:rPr>
      </w:pPr>
      <w:r>
        <w:rPr>
          <w:rFonts w:ascii="Arial" w:eastAsia="Times New Roman" w:hAnsi="Arial"/>
          <w:b/>
          <w:lang w:val="fr-FR" w:eastAsia="fr-FR"/>
        </w:rPr>
        <w:t>PROJET DE LOI</w:t>
      </w:r>
    </w:p>
    <w:p w:rsidR="009B585F" w:rsidRDefault="009B585F" w:rsidP="009B585F">
      <w:pPr>
        <w:spacing w:after="0" w:line="240" w:lineRule="auto"/>
        <w:jc w:val="center"/>
        <w:rPr>
          <w:rFonts w:ascii="Arial" w:eastAsia="Times New Roman" w:hAnsi="Arial"/>
          <w:lang w:val="fr-FR" w:eastAsia="fr-FR"/>
        </w:rPr>
      </w:pPr>
    </w:p>
    <w:p w:rsidR="009B585F" w:rsidRDefault="009B585F" w:rsidP="009B585F">
      <w:pPr>
        <w:spacing w:after="0" w:line="240" w:lineRule="auto"/>
        <w:jc w:val="center"/>
        <w:rPr>
          <w:rFonts w:ascii="Arial" w:eastAsia="Times New Roman" w:hAnsi="Arial"/>
          <w:b/>
          <w:lang w:val="fr-FR" w:eastAsia="fr-FR"/>
        </w:rPr>
      </w:pPr>
      <w:r>
        <w:rPr>
          <w:rFonts w:ascii="Arial" w:eastAsia="Times New Roman" w:hAnsi="Arial"/>
          <w:b/>
          <w:lang w:val="fr-FR" w:eastAsia="fr-FR"/>
        </w:rPr>
        <w:t>relative à la facturation électronique dans le cadre des marchés publics</w:t>
      </w:r>
    </w:p>
    <w:p w:rsidR="000243F4" w:rsidRDefault="000243F4" w:rsidP="000243F4">
      <w:pPr>
        <w:pStyle w:val="Paragraphedeliste"/>
        <w:spacing w:line="240" w:lineRule="auto"/>
        <w:ind w:hanging="720"/>
        <w:jc w:val="both"/>
        <w:rPr>
          <w:rFonts w:ascii="Arial" w:hAnsi="Arial" w:cs="Arial"/>
        </w:rPr>
      </w:pPr>
    </w:p>
    <w:p w:rsidR="00173CD0" w:rsidRDefault="009B585F" w:rsidP="009B585F">
      <w:pPr>
        <w:pStyle w:val="Paragraphedeliste"/>
        <w:spacing w:line="240" w:lineRule="auto"/>
        <w:ind w:left="0"/>
        <w:jc w:val="both"/>
        <w:rPr>
          <w:rFonts w:ascii="Arial" w:hAnsi="Arial" w:cs="Arial"/>
        </w:rPr>
      </w:pPr>
      <w:r>
        <w:rPr>
          <w:rFonts w:ascii="Arial" w:hAnsi="Arial" w:cs="Arial"/>
        </w:rPr>
        <w:t>---------------------------------------------------------------------------------------------------------------------------</w:t>
      </w:r>
    </w:p>
    <w:p w:rsidR="009B585F" w:rsidRDefault="009B585F" w:rsidP="009B585F">
      <w:pPr>
        <w:pStyle w:val="Paragraphedeliste"/>
        <w:spacing w:line="240" w:lineRule="auto"/>
        <w:ind w:left="0"/>
        <w:jc w:val="both"/>
        <w:rPr>
          <w:rFonts w:ascii="Arial" w:hAnsi="Arial" w:cs="Arial"/>
        </w:rPr>
      </w:pPr>
    </w:p>
    <w:p w:rsidR="000243F4" w:rsidRPr="000243F4" w:rsidRDefault="000243F4" w:rsidP="000243F4">
      <w:pPr>
        <w:jc w:val="both"/>
        <w:rPr>
          <w:rFonts w:ascii="Arial" w:hAnsi="Arial" w:cs="Arial"/>
        </w:rPr>
      </w:pPr>
      <w:r w:rsidRPr="009254F1">
        <w:rPr>
          <w:rFonts w:ascii="Arial" w:hAnsi="Arial" w:cs="Arial"/>
        </w:rPr>
        <w:t xml:space="preserve">Le </w:t>
      </w:r>
      <w:r w:rsidRPr="000243F4">
        <w:rPr>
          <w:rFonts w:ascii="Arial" w:hAnsi="Arial" w:cs="Arial"/>
          <w:b/>
          <w:color w:val="00B050"/>
        </w:rPr>
        <w:t>projet de loi n° 7271</w:t>
      </w:r>
      <w:r>
        <w:rPr>
          <w:rFonts w:ascii="Arial" w:hAnsi="Arial" w:cs="Arial"/>
        </w:rPr>
        <w:t xml:space="preserve"> (</w:t>
      </w:r>
      <w:r w:rsidRPr="009254F1">
        <w:rPr>
          <w:rFonts w:ascii="Arial" w:hAnsi="Arial" w:cs="Arial"/>
          <w:b/>
          <w:color w:val="00B050"/>
        </w:rPr>
        <w:t>PL 7271</w:t>
      </w:r>
      <w:r>
        <w:rPr>
          <w:rFonts w:ascii="Arial" w:hAnsi="Arial" w:cs="Arial"/>
        </w:rPr>
        <w:t>)</w:t>
      </w:r>
    </w:p>
    <w:p w:rsidR="000243F4" w:rsidRDefault="000243F4" w:rsidP="000243F4">
      <w:pPr>
        <w:numPr>
          <w:ilvl w:val="0"/>
          <w:numId w:val="2"/>
        </w:numPr>
        <w:jc w:val="both"/>
        <w:rPr>
          <w:rFonts w:ascii="Arial" w:hAnsi="Arial" w:cs="Arial"/>
        </w:rPr>
      </w:pPr>
      <w:r w:rsidRPr="009254F1">
        <w:rPr>
          <w:rFonts w:ascii="Arial" w:hAnsi="Arial" w:cs="Arial"/>
        </w:rPr>
        <w:t>transpose en droit luxembourgeois</w:t>
      </w:r>
      <w:r>
        <w:rPr>
          <w:rFonts w:ascii="Arial" w:hAnsi="Arial" w:cs="Arial"/>
        </w:rPr>
        <w:t xml:space="preserve"> </w:t>
      </w:r>
      <w:r w:rsidRPr="009254F1">
        <w:rPr>
          <w:rFonts w:ascii="Arial" w:hAnsi="Arial" w:cs="Arial"/>
        </w:rPr>
        <w:t xml:space="preserve">la </w:t>
      </w:r>
      <w:r w:rsidRPr="009254F1">
        <w:rPr>
          <w:rFonts w:ascii="Arial" w:hAnsi="Arial" w:cs="Arial"/>
          <w:b/>
          <w:color w:val="FF0000"/>
        </w:rPr>
        <w:t>directive 2014/55/UE</w:t>
      </w:r>
      <w:r w:rsidRPr="009254F1">
        <w:rPr>
          <w:rFonts w:ascii="Arial" w:hAnsi="Arial" w:cs="Arial"/>
        </w:rPr>
        <w:t xml:space="preserve"> du Parlement européen et du Conseil du </w:t>
      </w:r>
      <w:r w:rsidRPr="009254F1">
        <w:rPr>
          <w:rFonts w:ascii="Arial" w:hAnsi="Arial" w:cs="Arial"/>
          <w:b/>
          <w:color w:val="FF0000"/>
        </w:rPr>
        <w:t>16 avril 2014</w:t>
      </w:r>
      <w:r w:rsidRPr="009254F1">
        <w:rPr>
          <w:rFonts w:ascii="Arial" w:hAnsi="Arial" w:cs="Arial"/>
        </w:rPr>
        <w:t xml:space="preserve"> relative à la facturation électronique dans le cadre des marchés publics</w:t>
      </w:r>
      <w:r>
        <w:rPr>
          <w:rFonts w:ascii="Arial" w:hAnsi="Arial" w:cs="Arial"/>
        </w:rPr>
        <w:t>, et</w:t>
      </w:r>
    </w:p>
    <w:p w:rsidR="000243F4" w:rsidRDefault="000243F4" w:rsidP="000243F4">
      <w:pPr>
        <w:numPr>
          <w:ilvl w:val="0"/>
          <w:numId w:val="2"/>
        </w:numPr>
        <w:jc w:val="both"/>
        <w:rPr>
          <w:rFonts w:ascii="Arial" w:hAnsi="Arial" w:cs="Arial"/>
        </w:rPr>
      </w:pPr>
      <w:r w:rsidRPr="009254F1">
        <w:rPr>
          <w:rFonts w:ascii="Arial" w:hAnsi="Arial" w:cs="Arial"/>
        </w:rPr>
        <w:t>s’inscrit dans la volonté commune du Parlement européen, de la Commission euro</w:t>
      </w:r>
      <w:r w:rsidRPr="009254F1">
        <w:rPr>
          <w:rFonts w:ascii="Arial" w:hAnsi="Arial" w:cs="Arial"/>
        </w:rPr>
        <w:softHyphen/>
        <w:t xml:space="preserve">péenne et des États membres de l’Union européenne de faire progresser </w:t>
      </w:r>
      <w:r w:rsidRPr="009254F1">
        <w:rPr>
          <w:rFonts w:ascii="Arial" w:hAnsi="Arial" w:cs="Arial"/>
          <w:b/>
        </w:rPr>
        <w:t>l’utilisation de la facturation électronique</w:t>
      </w:r>
      <w:r w:rsidRPr="009254F1">
        <w:rPr>
          <w:rFonts w:ascii="Arial" w:hAnsi="Arial" w:cs="Arial"/>
        </w:rPr>
        <w:t xml:space="preserve"> dans l’intérêt du </w:t>
      </w:r>
      <w:r w:rsidRPr="009254F1">
        <w:rPr>
          <w:rFonts w:ascii="Arial" w:hAnsi="Arial" w:cs="Arial"/>
          <w:b/>
        </w:rPr>
        <w:t>marché intérieur</w:t>
      </w:r>
      <w:r w:rsidRPr="009254F1">
        <w:rPr>
          <w:rFonts w:ascii="Arial" w:hAnsi="Arial" w:cs="Arial"/>
        </w:rPr>
        <w:t xml:space="preserve"> et afin d’avancer vers une </w:t>
      </w:r>
      <w:r w:rsidRPr="009254F1">
        <w:rPr>
          <w:rFonts w:ascii="Arial" w:hAnsi="Arial" w:cs="Arial"/>
          <w:b/>
        </w:rPr>
        <w:t>administration électronique plus moderne et plus efficiente</w:t>
      </w:r>
      <w:r w:rsidRPr="009254F1">
        <w:rPr>
          <w:rFonts w:ascii="Arial" w:hAnsi="Arial" w:cs="Arial"/>
        </w:rPr>
        <w:t>.</w:t>
      </w:r>
    </w:p>
    <w:p w:rsidR="00CD770A" w:rsidRDefault="00CD770A" w:rsidP="000243F4">
      <w:pPr>
        <w:jc w:val="both"/>
        <w:rPr>
          <w:rFonts w:ascii="Arial" w:hAnsi="Arial" w:cs="Arial"/>
        </w:rPr>
      </w:pPr>
    </w:p>
    <w:p w:rsidR="000243F4" w:rsidRDefault="000243F4" w:rsidP="000243F4">
      <w:pPr>
        <w:jc w:val="both"/>
        <w:rPr>
          <w:rFonts w:ascii="Arial" w:hAnsi="Arial" w:cs="Arial"/>
        </w:rPr>
      </w:pPr>
      <w:r>
        <w:rPr>
          <w:rFonts w:ascii="Arial" w:hAnsi="Arial" w:cs="Arial"/>
        </w:rPr>
        <w:t>L</w:t>
      </w:r>
      <w:r w:rsidRPr="009254F1">
        <w:rPr>
          <w:rFonts w:ascii="Arial" w:hAnsi="Arial" w:cs="Arial"/>
        </w:rPr>
        <w:t xml:space="preserve">a </w:t>
      </w:r>
      <w:r w:rsidRPr="009254F1">
        <w:rPr>
          <w:rFonts w:ascii="Arial" w:hAnsi="Arial" w:cs="Arial"/>
          <w:b/>
          <w:color w:val="FF0000"/>
        </w:rPr>
        <w:t>directive 2014/55/UE</w:t>
      </w:r>
      <w:r w:rsidRPr="009254F1">
        <w:rPr>
          <w:rFonts w:ascii="Arial" w:hAnsi="Arial" w:cs="Arial"/>
        </w:rPr>
        <w:t xml:space="preserve"> vise à combattre la fragmentation qui existe en matière de solutions de </w:t>
      </w:r>
      <w:r w:rsidRPr="009254F1">
        <w:rPr>
          <w:rFonts w:ascii="Arial" w:hAnsi="Arial" w:cs="Arial"/>
          <w:b/>
        </w:rPr>
        <w:t>facturation électronique</w:t>
      </w:r>
      <w:r w:rsidRPr="009254F1">
        <w:rPr>
          <w:rFonts w:ascii="Arial" w:hAnsi="Arial" w:cs="Arial"/>
        </w:rPr>
        <w:t xml:space="preserve"> par</w:t>
      </w:r>
      <w:r>
        <w:rPr>
          <w:rFonts w:ascii="Arial" w:hAnsi="Arial" w:cs="Arial"/>
        </w:rPr>
        <w:t xml:space="preserve"> la définition</w:t>
      </w:r>
    </w:p>
    <w:p w:rsidR="000243F4" w:rsidRDefault="000243F4" w:rsidP="000243F4">
      <w:pPr>
        <w:numPr>
          <w:ilvl w:val="0"/>
          <w:numId w:val="3"/>
        </w:numPr>
        <w:jc w:val="both"/>
        <w:rPr>
          <w:rFonts w:ascii="Arial" w:hAnsi="Arial" w:cs="Arial"/>
        </w:rPr>
      </w:pPr>
      <w:r w:rsidRPr="009254F1">
        <w:rPr>
          <w:rFonts w:ascii="Arial" w:hAnsi="Arial" w:cs="Arial"/>
        </w:rPr>
        <w:t xml:space="preserve">d’une </w:t>
      </w:r>
      <w:r w:rsidRPr="009254F1">
        <w:rPr>
          <w:rFonts w:ascii="Arial" w:hAnsi="Arial" w:cs="Arial"/>
          <w:b/>
        </w:rPr>
        <w:t>norme européenne commune</w:t>
      </w:r>
      <w:r w:rsidRPr="009254F1">
        <w:rPr>
          <w:rFonts w:ascii="Arial" w:hAnsi="Arial" w:cs="Arial"/>
        </w:rPr>
        <w:t>, qui définit le modèle sémantique de données d’une facture électronique, et</w:t>
      </w:r>
    </w:p>
    <w:p w:rsidR="000243F4" w:rsidRPr="009254F1" w:rsidRDefault="000243F4" w:rsidP="000243F4">
      <w:pPr>
        <w:numPr>
          <w:ilvl w:val="0"/>
          <w:numId w:val="3"/>
        </w:numPr>
        <w:jc w:val="both"/>
        <w:rPr>
          <w:rFonts w:ascii="Arial" w:hAnsi="Arial" w:cs="Arial"/>
        </w:rPr>
      </w:pPr>
      <w:r w:rsidRPr="009254F1">
        <w:rPr>
          <w:rFonts w:ascii="Arial" w:hAnsi="Arial" w:cs="Arial"/>
        </w:rPr>
        <w:t xml:space="preserve">d’une liste limitée de syntaxes (c’est-à-dire de langages lisibles par une machine, p. ex. un format de type XML) </w:t>
      </w:r>
      <w:r>
        <w:rPr>
          <w:rFonts w:ascii="Arial" w:hAnsi="Arial" w:cs="Arial"/>
        </w:rPr>
        <w:t xml:space="preserve">pouvant </w:t>
      </w:r>
      <w:r w:rsidRPr="009254F1">
        <w:rPr>
          <w:rFonts w:ascii="Arial" w:hAnsi="Arial" w:cs="Arial"/>
        </w:rPr>
        <w:t>être utilisées pour décrire les données contenues dans une facture électronique</w:t>
      </w:r>
      <w:r>
        <w:rPr>
          <w:rFonts w:ascii="Arial" w:hAnsi="Arial" w:cs="Arial"/>
        </w:rPr>
        <w:t>.</w:t>
      </w:r>
    </w:p>
    <w:p w:rsidR="00CD770A" w:rsidRDefault="00CD770A" w:rsidP="002D0E97">
      <w:pPr>
        <w:jc w:val="both"/>
        <w:rPr>
          <w:rFonts w:ascii="Arial" w:hAnsi="Arial" w:cs="Arial"/>
        </w:rPr>
      </w:pPr>
    </w:p>
    <w:p w:rsidR="000243F4" w:rsidRDefault="000243F4" w:rsidP="002D0E97">
      <w:pPr>
        <w:jc w:val="both"/>
        <w:rPr>
          <w:rFonts w:ascii="Arial" w:hAnsi="Arial" w:cs="Arial"/>
        </w:rPr>
      </w:pPr>
      <w:r w:rsidRPr="009254F1">
        <w:rPr>
          <w:rFonts w:ascii="Arial" w:hAnsi="Arial" w:cs="Arial"/>
        </w:rPr>
        <w:t xml:space="preserve">Un autre </w:t>
      </w:r>
      <w:r>
        <w:rPr>
          <w:rFonts w:ascii="Arial" w:hAnsi="Arial" w:cs="Arial"/>
        </w:rPr>
        <w:t>objectif</w:t>
      </w:r>
      <w:r w:rsidRPr="009254F1">
        <w:rPr>
          <w:rFonts w:ascii="Arial" w:hAnsi="Arial" w:cs="Arial"/>
        </w:rPr>
        <w:t xml:space="preserve"> poursuivi par </w:t>
      </w:r>
      <w:r>
        <w:rPr>
          <w:rFonts w:ascii="Arial" w:hAnsi="Arial" w:cs="Arial"/>
        </w:rPr>
        <w:t>l</w:t>
      </w:r>
      <w:r w:rsidRPr="009254F1">
        <w:rPr>
          <w:rFonts w:ascii="Arial" w:hAnsi="Arial" w:cs="Arial"/>
        </w:rPr>
        <w:t xml:space="preserve">a </w:t>
      </w:r>
      <w:r w:rsidRPr="009254F1">
        <w:rPr>
          <w:rFonts w:ascii="Arial" w:hAnsi="Arial" w:cs="Arial"/>
          <w:b/>
          <w:color w:val="FF0000"/>
        </w:rPr>
        <w:t>directive 2014/55/UE</w:t>
      </w:r>
      <w:r w:rsidRPr="009254F1">
        <w:rPr>
          <w:rFonts w:ascii="Arial" w:hAnsi="Arial" w:cs="Arial"/>
        </w:rPr>
        <w:t xml:space="preserve"> </w:t>
      </w:r>
      <w:r>
        <w:rPr>
          <w:rFonts w:ascii="Arial" w:hAnsi="Arial" w:cs="Arial"/>
        </w:rPr>
        <w:t xml:space="preserve">transposée en droit luxembourgeois à travers le </w:t>
      </w:r>
      <w:r w:rsidRPr="009254F1">
        <w:rPr>
          <w:rFonts w:ascii="Arial" w:hAnsi="Arial" w:cs="Arial"/>
          <w:b/>
          <w:color w:val="00B050"/>
        </w:rPr>
        <w:t>PL 7271</w:t>
      </w:r>
      <w:r>
        <w:rPr>
          <w:rFonts w:ascii="Arial" w:hAnsi="Arial" w:cs="Arial"/>
        </w:rPr>
        <w:t xml:space="preserve"> e</w:t>
      </w:r>
      <w:r w:rsidRPr="009254F1">
        <w:rPr>
          <w:rFonts w:ascii="Arial" w:hAnsi="Arial" w:cs="Arial"/>
        </w:rPr>
        <w:t>st de contribuer à une modernisation des procédures utilisées au niveau des marchés publics, notamment en permettant d’offrir ces dernières de manière complétement numérique et le plus possible à distance.</w:t>
      </w:r>
    </w:p>
    <w:p w:rsidR="000243F4" w:rsidRPr="000243F4" w:rsidRDefault="002D0E97" w:rsidP="002D0E97">
      <w:pPr>
        <w:pStyle w:val="Paragraphedeliste"/>
        <w:spacing w:line="240" w:lineRule="auto"/>
        <w:ind w:left="0"/>
        <w:jc w:val="both"/>
        <w:rPr>
          <w:rFonts w:ascii="Arial" w:hAnsi="Arial" w:cs="Arial"/>
          <w:lang w:val="fr-LU"/>
        </w:rPr>
      </w:pPr>
      <w:r w:rsidRPr="002D0E97">
        <w:rPr>
          <w:rFonts w:ascii="Arial" w:hAnsi="Arial" w:cs="Arial"/>
          <w:lang w:val="fr-LU"/>
        </w:rPr>
        <w:t xml:space="preserve">Au-delà des activités en cours au niveau de l’UE qui visent à promouvoir la facturation électronique et son adoption de plus en plus large, beaucoup d’États européens poursuivent aussi au niveau national une politique volontaire ayant comme objectif de généraliser et de systématiser la facturation électronique ou même de la rendre obligatoire. </w:t>
      </w:r>
      <w:r>
        <w:rPr>
          <w:rFonts w:ascii="Arial" w:hAnsi="Arial" w:cs="Arial"/>
          <w:lang w:val="fr-LU"/>
        </w:rPr>
        <w:t>Le Grand-Duché entend également rejoindre le camps de ces Etats étant donné que l</w:t>
      </w:r>
      <w:r w:rsidRPr="002D0E97">
        <w:rPr>
          <w:rFonts w:ascii="Arial" w:hAnsi="Arial" w:cs="Arial"/>
          <w:lang w:val="fr-LU"/>
        </w:rPr>
        <w:t>es bénéfices attendus sont évidemment des économies financières considérables ainsi qu’une administration publique et une économie beaucoup plus efficientes et plus concurrentielles.</w:t>
      </w:r>
    </w:p>
    <w:p w:rsidR="000243F4" w:rsidRDefault="000243F4" w:rsidP="000243F4">
      <w:pPr>
        <w:pStyle w:val="Paragraphedeliste"/>
        <w:spacing w:line="240" w:lineRule="auto"/>
        <w:ind w:left="0"/>
        <w:jc w:val="both"/>
        <w:rPr>
          <w:rFonts w:ascii="Arial" w:hAnsi="Arial" w:cs="Arial"/>
        </w:rPr>
      </w:pPr>
    </w:p>
    <w:p w:rsidR="00CD770A" w:rsidRDefault="00CD770A" w:rsidP="000243F4">
      <w:pPr>
        <w:pStyle w:val="Paragraphedeliste"/>
        <w:spacing w:line="240" w:lineRule="auto"/>
        <w:ind w:left="0"/>
        <w:jc w:val="both"/>
        <w:rPr>
          <w:rFonts w:ascii="Arial" w:hAnsi="Arial" w:cs="Arial"/>
        </w:rPr>
      </w:pPr>
    </w:p>
    <w:p w:rsidR="00CD770A" w:rsidRDefault="00CD770A" w:rsidP="000243F4">
      <w:pPr>
        <w:pStyle w:val="Paragraphedeliste"/>
        <w:spacing w:line="240" w:lineRule="auto"/>
        <w:ind w:left="0"/>
        <w:jc w:val="both"/>
        <w:rPr>
          <w:rFonts w:ascii="Arial" w:hAnsi="Arial" w:cs="Arial"/>
          <w:lang w:val="fr-LU"/>
        </w:rPr>
      </w:pPr>
      <w:r>
        <w:rPr>
          <w:rFonts w:ascii="Arial" w:hAnsi="Arial" w:cs="Arial"/>
          <w:lang w:val="fr-LU"/>
        </w:rPr>
        <w:t>Alors que l</w:t>
      </w:r>
      <w:r w:rsidRPr="00CD770A">
        <w:rPr>
          <w:rFonts w:ascii="Arial" w:hAnsi="Arial" w:cs="Arial"/>
          <w:lang w:val="fr-LU"/>
        </w:rPr>
        <w:t>’utilisation de plus en plus large et systématique de la facturation électronique en Europe est une tendance de fond que</w:t>
      </w:r>
      <w:r>
        <w:rPr>
          <w:rFonts w:ascii="Arial" w:hAnsi="Arial" w:cs="Arial"/>
          <w:lang w:val="fr-LU"/>
        </w:rPr>
        <w:t xml:space="preserve"> </w:t>
      </w:r>
      <w:r>
        <w:rPr>
          <w:rFonts w:ascii="Arial" w:hAnsi="Arial" w:cs="Arial"/>
        </w:rPr>
        <w:t xml:space="preserve">le </w:t>
      </w:r>
      <w:r w:rsidRPr="009254F1">
        <w:rPr>
          <w:rFonts w:ascii="Arial" w:hAnsi="Arial" w:cs="Arial"/>
          <w:b/>
          <w:color w:val="00B050"/>
        </w:rPr>
        <w:t>PL 7271</w:t>
      </w:r>
      <w:r w:rsidRPr="00CD770A">
        <w:rPr>
          <w:rFonts w:ascii="Arial" w:hAnsi="Arial" w:cs="Arial"/>
          <w:lang w:val="fr-LU"/>
        </w:rPr>
        <w:t xml:space="preserve"> peut contribuer à faciliter et à soutenir. </w:t>
      </w:r>
      <w:r>
        <w:rPr>
          <w:rFonts w:ascii="Arial" w:hAnsi="Arial" w:cs="Arial"/>
          <w:lang w:val="fr-LU"/>
        </w:rPr>
        <w:t xml:space="preserve">le projet de texte </w:t>
      </w:r>
      <w:r w:rsidRPr="00CD770A">
        <w:rPr>
          <w:rFonts w:ascii="Arial" w:hAnsi="Arial" w:cs="Arial"/>
          <w:lang w:val="fr-LU"/>
        </w:rPr>
        <w:t xml:space="preserve">ne pourra pas évidemment par </w:t>
      </w:r>
      <w:r>
        <w:rPr>
          <w:rFonts w:ascii="Arial" w:hAnsi="Arial" w:cs="Arial"/>
          <w:lang w:val="fr-LU"/>
        </w:rPr>
        <w:t>lui seul</w:t>
      </w:r>
      <w:r w:rsidRPr="00CD770A">
        <w:rPr>
          <w:rFonts w:ascii="Arial" w:hAnsi="Arial" w:cs="Arial"/>
          <w:lang w:val="fr-LU"/>
        </w:rPr>
        <w:t xml:space="preserve"> conduire à</w:t>
      </w:r>
    </w:p>
    <w:p w:rsidR="00CD770A" w:rsidRDefault="00CD770A" w:rsidP="000243F4">
      <w:pPr>
        <w:pStyle w:val="Paragraphedeliste"/>
        <w:spacing w:line="240" w:lineRule="auto"/>
        <w:ind w:left="0"/>
        <w:jc w:val="both"/>
        <w:rPr>
          <w:rFonts w:ascii="Arial" w:hAnsi="Arial" w:cs="Arial"/>
          <w:lang w:val="fr-LU"/>
        </w:rPr>
      </w:pPr>
    </w:p>
    <w:p w:rsidR="00CD770A" w:rsidRPr="00CD770A" w:rsidRDefault="00CD770A" w:rsidP="00CD770A">
      <w:pPr>
        <w:pStyle w:val="Paragraphedeliste"/>
        <w:numPr>
          <w:ilvl w:val="0"/>
          <w:numId w:val="4"/>
        </w:numPr>
        <w:spacing w:line="240" w:lineRule="auto"/>
        <w:jc w:val="both"/>
        <w:rPr>
          <w:rFonts w:ascii="Arial" w:hAnsi="Arial" w:cs="Arial"/>
        </w:rPr>
      </w:pPr>
      <w:r w:rsidRPr="00CD770A">
        <w:rPr>
          <w:rFonts w:ascii="Arial" w:hAnsi="Arial" w:cs="Arial"/>
          <w:lang w:val="fr-LU"/>
        </w:rPr>
        <w:t xml:space="preserve">une éclosion du marché de la facturation électronique au </w:t>
      </w:r>
      <w:r>
        <w:rPr>
          <w:rFonts w:ascii="Arial" w:hAnsi="Arial" w:cs="Arial"/>
          <w:lang w:val="fr-LU"/>
        </w:rPr>
        <w:t xml:space="preserve">Luxembourg, </w:t>
      </w:r>
      <w:r w:rsidRPr="00CD770A">
        <w:rPr>
          <w:rFonts w:ascii="Arial" w:hAnsi="Arial" w:cs="Arial"/>
          <w:lang w:val="fr-LU"/>
        </w:rPr>
        <w:t>et</w:t>
      </w:r>
    </w:p>
    <w:p w:rsidR="00CD770A" w:rsidRPr="00CD770A" w:rsidRDefault="00CD770A" w:rsidP="00CD770A">
      <w:pPr>
        <w:pStyle w:val="Paragraphedeliste"/>
        <w:spacing w:line="240" w:lineRule="auto"/>
        <w:ind w:left="0"/>
        <w:jc w:val="both"/>
        <w:rPr>
          <w:rFonts w:ascii="Arial" w:hAnsi="Arial" w:cs="Arial"/>
        </w:rPr>
      </w:pPr>
    </w:p>
    <w:p w:rsidR="000243F4" w:rsidRDefault="00CD770A" w:rsidP="00CD770A">
      <w:pPr>
        <w:pStyle w:val="Paragraphedeliste"/>
        <w:numPr>
          <w:ilvl w:val="0"/>
          <w:numId w:val="4"/>
        </w:numPr>
        <w:spacing w:line="240" w:lineRule="auto"/>
        <w:jc w:val="both"/>
        <w:rPr>
          <w:rFonts w:ascii="Arial" w:hAnsi="Arial" w:cs="Arial"/>
        </w:rPr>
      </w:pPr>
      <w:r w:rsidRPr="00CD770A">
        <w:rPr>
          <w:rFonts w:ascii="Arial" w:hAnsi="Arial" w:cs="Arial"/>
          <w:lang w:val="fr-LU"/>
        </w:rPr>
        <w:t>à une généralisation rapide de l’utilisation des factures électroniques.</w:t>
      </w:r>
    </w:p>
    <w:p w:rsidR="000243F4" w:rsidRDefault="000243F4" w:rsidP="000243F4">
      <w:pPr>
        <w:pStyle w:val="Paragraphedeliste"/>
        <w:spacing w:line="240" w:lineRule="auto"/>
        <w:ind w:left="0"/>
        <w:jc w:val="both"/>
        <w:rPr>
          <w:rFonts w:ascii="Arial" w:hAnsi="Arial" w:cs="Arial"/>
        </w:rPr>
      </w:pPr>
    </w:p>
    <w:p w:rsidR="000243F4" w:rsidRDefault="000243F4" w:rsidP="000243F4">
      <w:pPr>
        <w:pStyle w:val="Paragraphedeliste"/>
        <w:spacing w:line="240" w:lineRule="auto"/>
        <w:ind w:left="0"/>
        <w:jc w:val="both"/>
        <w:rPr>
          <w:rFonts w:ascii="Arial" w:hAnsi="Arial" w:cs="Arial"/>
        </w:rPr>
      </w:pPr>
    </w:p>
    <w:p w:rsidR="00CD770A"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lastRenderedPageBreak/>
        <w:t xml:space="preserve">Le </w:t>
      </w:r>
      <w:r w:rsidRPr="00CD770A">
        <w:rPr>
          <w:rFonts w:ascii="Arial" w:hAnsi="Arial" w:cs="Arial"/>
          <w:b/>
          <w:color w:val="0070C0"/>
          <w:lang w:val="fr-LU"/>
        </w:rPr>
        <w:t>Centre des technologies de l’information de l’État</w:t>
      </w:r>
      <w:r w:rsidRPr="009B585F">
        <w:rPr>
          <w:rFonts w:ascii="Arial" w:hAnsi="Arial" w:cs="Arial"/>
          <w:b/>
          <w:color w:val="0070C0"/>
          <w:lang w:val="fr-LU"/>
        </w:rPr>
        <w:t xml:space="preserve"> (CTIE)</w:t>
      </w:r>
      <w:r w:rsidRPr="00CD770A">
        <w:rPr>
          <w:rFonts w:ascii="Arial" w:hAnsi="Arial" w:cs="Arial"/>
          <w:lang w:val="fr-LU"/>
        </w:rPr>
        <w:t>, ensemble avec les autres acteurs gouvernementaux directement concernés par le sujet, a pendant le second semestre 2016 mis en place une solution technique qui permet en principe aux organisations gouvernementales (ministères et administrations) de recevoir des factures électroniques conformes via un canal de transmission sécurisée et utilisable par-delà les frontières par n’importe quelle entreprise nationale ou étrangère.</w:t>
      </w:r>
    </w:p>
    <w:p w:rsidR="00CD770A" w:rsidRDefault="00CD770A" w:rsidP="00CD770A">
      <w:pPr>
        <w:pStyle w:val="Paragraphedeliste"/>
        <w:spacing w:line="240" w:lineRule="auto"/>
        <w:ind w:left="0"/>
        <w:jc w:val="both"/>
        <w:rPr>
          <w:rFonts w:ascii="Arial" w:hAnsi="Arial" w:cs="Arial"/>
          <w:lang w:val="fr-LU"/>
        </w:rPr>
      </w:pPr>
    </w:p>
    <w:p w:rsidR="00CD770A"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t>Cette solution technique a aussi été présentée en 2017 à d’autres organisations qui ne dépendent pas directement ou indirectement du gouvernement central, notamment les communes, et pourrait être utilisée ou réutilisée quasiment à l’identique par un grand nombre de ces organisations.</w:t>
      </w:r>
    </w:p>
    <w:p w:rsidR="00CD770A" w:rsidRDefault="00CD770A" w:rsidP="00CD770A">
      <w:pPr>
        <w:pStyle w:val="Paragraphedeliste"/>
        <w:spacing w:line="240" w:lineRule="auto"/>
        <w:ind w:left="0"/>
        <w:rPr>
          <w:rFonts w:ascii="Arial" w:hAnsi="Arial" w:cs="Arial"/>
          <w:lang w:val="fr-LU"/>
        </w:rPr>
      </w:pPr>
    </w:p>
    <w:p w:rsidR="00CD770A"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t>Le principal élément qui bloque à l’heure actuelle une utilisation à une échelle significative de la facturation électronique est le fait qu’un nombre très limité d’entreprises privées sont jusqu’à présent à même d’envoyer des factures électroniques qui seraient conformes à</w:t>
      </w:r>
    </w:p>
    <w:p w:rsidR="00CD770A" w:rsidRPr="009B585F" w:rsidRDefault="00CD770A" w:rsidP="00CD770A">
      <w:pPr>
        <w:pStyle w:val="Paragraphedeliste"/>
        <w:spacing w:line="240" w:lineRule="auto"/>
        <w:ind w:left="0"/>
        <w:jc w:val="both"/>
        <w:rPr>
          <w:rFonts w:ascii="Arial" w:hAnsi="Arial" w:cs="Arial"/>
          <w:sz w:val="16"/>
          <w:szCs w:val="16"/>
          <w:lang w:val="fr-LU"/>
        </w:rPr>
      </w:pPr>
    </w:p>
    <w:p w:rsidR="00CD770A" w:rsidRPr="00CD770A" w:rsidRDefault="00CD770A" w:rsidP="00CD770A">
      <w:pPr>
        <w:pStyle w:val="Paragraphedeliste"/>
        <w:numPr>
          <w:ilvl w:val="0"/>
          <w:numId w:val="5"/>
        </w:numPr>
        <w:spacing w:line="240" w:lineRule="auto"/>
        <w:jc w:val="both"/>
        <w:rPr>
          <w:rFonts w:ascii="Arial" w:hAnsi="Arial" w:cs="Arial"/>
        </w:rPr>
      </w:pPr>
      <w:r w:rsidRPr="00CD770A">
        <w:rPr>
          <w:rFonts w:ascii="Arial" w:hAnsi="Arial" w:cs="Arial"/>
          <w:lang w:val="fr-LU"/>
        </w:rPr>
        <w:t>la norme européenne</w:t>
      </w:r>
      <w:r>
        <w:rPr>
          <w:rFonts w:ascii="Arial" w:hAnsi="Arial" w:cs="Arial"/>
          <w:lang w:val="fr-LU"/>
        </w:rPr>
        <w:t>, et</w:t>
      </w:r>
    </w:p>
    <w:p w:rsidR="00CD770A" w:rsidRPr="009B585F" w:rsidRDefault="00CD770A" w:rsidP="00CD770A">
      <w:pPr>
        <w:pStyle w:val="Paragraphedeliste"/>
        <w:spacing w:line="240" w:lineRule="auto"/>
        <w:ind w:left="0"/>
        <w:jc w:val="both"/>
        <w:rPr>
          <w:rFonts w:ascii="Arial" w:hAnsi="Arial" w:cs="Arial"/>
          <w:sz w:val="16"/>
          <w:szCs w:val="16"/>
        </w:rPr>
      </w:pPr>
    </w:p>
    <w:p w:rsidR="00CD770A" w:rsidRPr="00CD770A" w:rsidRDefault="00CD770A" w:rsidP="00CD770A">
      <w:pPr>
        <w:pStyle w:val="Paragraphedeliste"/>
        <w:numPr>
          <w:ilvl w:val="0"/>
          <w:numId w:val="5"/>
        </w:numPr>
        <w:spacing w:line="240" w:lineRule="auto"/>
        <w:jc w:val="both"/>
        <w:rPr>
          <w:rFonts w:ascii="Arial" w:hAnsi="Arial" w:cs="Arial"/>
        </w:rPr>
      </w:pPr>
      <w:r w:rsidRPr="00CD770A">
        <w:rPr>
          <w:rFonts w:ascii="Arial" w:hAnsi="Arial" w:cs="Arial"/>
          <w:lang w:val="fr-LU"/>
        </w:rPr>
        <w:t>une des deux syntaxes autorisées.</w:t>
      </w:r>
    </w:p>
    <w:p w:rsidR="00CD770A" w:rsidRDefault="00CD770A" w:rsidP="00CD770A">
      <w:pPr>
        <w:pStyle w:val="Paragraphedeliste"/>
        <w:spacing w:line="240" w:lineRule="auto"/>
        <w:ind w:left="0"/>
        <w:jc w:val="both"/>
        <w:rPr>
          <w:rFonts w:ascii="Arial" w:hAnsi="Arial" w:cs="Arial"/>
        </w:rPr>
      </w:pPr>
    </w:p>
    <w:p w:rsidR="00173CD0"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t>Le gouvernement est donc dans la situation qu’il est à même de recevoir et de traiter des factures électroniques conformes mais que malheureusement très peu d’entreprises envoient effectivement des factures électroniques.</w:t>
      </w:r>
    </w:p>
    <w:p w:rsidR="00173CD0" w:rsidRDefault="00173CD0" w:rsidP="00CD770A">
      <w:pPr>
        <w:pStyle w:val="Paragraphedeliste"/>
        <w:spacing w:line="240" w:lineRule="auto"/>
        <w:ind w:left="0"/>
        <w:jc w:val="both"/>
        <w:rPr>
          <w:rFonts w:ascii="Arial" w:hAnsi="Arial" w:cs="Arial"/>
          <w:lang w:val="fr-LU"/>
        </w:rPr>
      </w:pPr>
    </w:p>
    <w:p w:rsidR="00173CD0" w:rsidRDefault="00173CD0" w:rsidP="00CD770A">
      <w:pPr>
        <w:pStyle w:val="Paragraphedeliste"/>
        <w:spacing w:line="240" w:lineRule="auto"/>
        <w:ind w:left="0"/>
        <w:jc w:val="both"/>
        <w:rPr>
          <w:rFonts w:ascii="Arial" w:hAnsi="Arial" w:cs="Arial"/>
          <w:lang w:val="fr-LU"/>
        </w:rPr>
      </w:pPr>
    </w:p>
    <w:p w:rsidR="00173CD0"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t xml:space="preserve">L’adoption et la mise en vigueur </w:t>
      </w:r>
      <w:r w:rsidR="00173CD0">
        <w:rPr>
          <w:rFonts w:ascii="Arial" w:hAnsi="Arial" w:cs="Arial"/>
        </w:rPr>
        <w:t xml:space="preserve">du </w:t>
      </w:r>
      <w:r w:rsidR="00173CD0" w:rsidRPr="009254F1">
        <w:rPr>
          <w:rFonts w:ascii="Arial" w:hAnsi="Arial" w:cs="Arial"/>
          <w:b/>
          <w:color w:val="00B050"/>
        </w:rPr>
        <w:t>PL 7271</w:t>
      </w:r>
      <w:r w:rsidR="00173CD0" w:rsidRPr="00CD770A">
        <w:rPr>
          <w:rFonts w:ascii="Arial" w:hAnsi="Arial" w:cs="Arial"/>
          <w:lang w:val="fr-LU"/>
        </w:rPr>
        <w:t xml:space="preserve"> </w:t>
      </w:r>
      <w:r w:rsidRPr="00CD770A">
        <w:rPr>
          <w:rFonts w:ascii="Arial" w:hAnsi="Arial" w:cs="Arial"/>
          <w:lang w:val="fr-LU"/>
        </w:rPr>
        <w:t>doit donc s’accompagner de mesures</w:t>
      </w:r>
    </w:p>
    <w:p w:rsidR="00173CD0" w:rsidRPr="00173CD0" w:rsidRDefault="00173CD0" w:rsidP="00CD770A">
      <w:pPr>
        <w:pStyle w:val="Paragraphedeliste"/>
        <w:spacing w:line="240" w:lineRule="auto"/>
        <w:ind w:left="0"/>
        <w:jc w:val="both"/>
        <w:rPr>
          <w:rFonts w:ascii="Arial" w:hAnsi="Arial" w:cs="Arial"/>
          <w:sz w:val="16"/>
          <w:szCs w:val="16"/>
          <w:lang w:val="fr-LU"/>
        </w:rPr>
      </w:pPr>
    </w:p>
    <w:p w:rsidR="00173CD0" w:rsidRDefault="00CD770A" w:rsidP="00173CD0">
      <w:pPr>
        <w:pStyle w:val="Paragraphedeliste"/>
        <w:numPr>
          <w:ilvl w:val="0"/>
          <w:numId w:val="6"/>
        </w:numPr>
        <w:spacing w:line="240" w:lineRule="auto"/>
        <w:jc w:val="both"/>
        <w:rPr>
          <w:rFonts w:ascii="Arial" w:hAnsi="Arial" w:cs="Arial"/>
          <w:lang w:val="fr-LU"/>
        </w:rPr>
      </w:pPr>
      <w:r w:rsidRPr="00CD770A">
        <w:rPr>
          <w:rFonts w:ascii="Arial" w:hAnsi="Arial" w:cs="Arial"/>
          <w:lang w:val="fr-LU"/>
        </w:rPr>
        <w:t>de sensibilisation,</w:t>
      </w:r>
    </w:p>
    <w:p w:rsidR="00173CD0" w:rsidRPr="00173CD0" w:rsidRDefault="00173CD0" w:rsidP="00173CD0">
      <w:pPr>
        <w:pStyle w:val="Paragraphedeliste"/>
        <w:spacing w:line="240" w:lineRule="auto"/>
        <w:ind w:left="0"/>
        <w:jc w:val="both"/>
        <w:rPr>
          <w:rFonts w:ascii="Arial" w:hAnsi="Arial" w:cs="Arial"/>
          <w:sz w:val="16"/>
          <w:szCs w:val="16"/>
          <w:lang w:val="fr-LU"/>
        </w:rPr>
      </w:pPr>
    </w:p>
    <w:p w:rsidR="00173CD0" w:rsidRDefault="00CD770A" w:rsidP="00173CD0">
      <w:pPr>
        <w:pStyle w:val="Paragraphedeliste"/>
        <w:numPr>
          <w:ilvl w:val="0"/>
          <w:numId w:val="6"/>
        </w:numPr>
        <w:spacing w:line="240" w:lineRule="auto"/>
        <w:jc w:val="both"/>
        <w:rPr>
          <w:rFonts w:ascii="Arial" w:hAnsi="Arial" w:cs="Arial"/>
          <w:lang w:val="fr-LU"/>
        </w:rPr>
      </w:pPr>
      <w:r w:rsidRPr="00CD770A">
        <w:rPr>
          <w:rFonts w:ascii="Arial" w:hAnsi="Arial" w:cs="Arial"/>
          <w:lang w:val="fr-LU"/>
        </w:rPr>
        <w:t>d’information</w:t>
      </w:r>
      <w:r w:rsidR="00173CD0">
        <w:rPr>
          <w:rFonts w:ascii="Arial" w:hAnsi="Arial" w:cs="Arial"/>
          <w:lang w:val="fr-LU"/>
        </w:rPr>
        <w:t xml:space="preserve">, </w:t>
      </w:r>
      <w:r w:rsidRPr="00CD770A">
        <w:rPr>
          <w:rFonts w:ascii="Arial" w:hAnsi="Arial" w:cs="Arial"/>
          <w:lang w:val="fr-LU"/>
        </w:rPr>
        <w:t>et</w:t>
      </w:r>
    </w:p>
    <w:p w:rsidR="00173CD0" w:rsidRPr="00173CD0" w:rsidRDefault="00173CD0" w:rsidP="00173CD0">
      <w:pPr>
        <w:pStyle w:val="Paragraphedeliste"/>
        <w:spacing w:line="240" w:lineRule="auto"/>
        <w:ind w:left="0"/>
        <w:jc w:val="both"/>
        <w:rPr>
          <w:rFonts w:ascii="Arial" w:hAnsi="Arial" w:cs="Arial"/>
          <w:sz w:val="16"/>
          <w:szCs w:val="16"/>
          <w:lang w:val="fr-LU"/>
        </w:rPr>
      </w:pPr>
    </w:p>
    <w:p w:rsidR="00173CD0" w:rsidRDefault="00CD770A" w:rsidP="00173CD0">
      <w:pPr>
        <w:pStyle w:val="Paragraphedeliste"/>
        <w:numPr>
          <w:ilvl w:val="0"/>
          <w:numId w:val="6"/>
        </w:numPr>
        <w:spacing w:line="240" w:lineRule="auto"/>
        <w:jc w:val="both"/>
        <w:rPr>
          <w:rFonts w:ascii="Arial" w:hAnsi="Arial" w:cs="Arial"/>
          <w:lang w:val="fr-LU"/>
        </w:rPr>
      </w:pPr>
      <w:r w:rsidRPr="00CD770A">
        <w:rPr>
          <w:rFonts w:ascii="Arial" w:hAnsi="Arial" w:cs="Arial"/>
          <w:lang w:val="fr-LU"/>
        </w:rPr>
        <w:t>d’accompagnement</w:t>
      </w:r>
    </w:p>
    <w:p w:rsidR="00173CD0" w:rsidRPr="00173CD0" w:rsidRDefault="00173CD0" w:rsidP="00173CD0">
      <w:pPr>
        <w:pStyle w:val="Paragraphedeliste"/>
        <w:spacing w:line="240" w:lineRule="auto"/>
        <w:ind w:left="0"/>
        <w:jc w:val="both"/>
        <w:rPr>
          <w:rFonts w:ascii="Arial" w:hAnsi="Arial" w:cs="Arial"/>
          <w:sz w:val="16"/>
          <w:szCs w:val="16"/>
          <w:lang w:val="fr-LU"/>
        </w:rPr>
      </w:pPr>
    </w:p>
    <w:p w:rsidR="000243F4" w:rsidRDefault="00CD770A" w:rsidP="00CD770A">
      <w:pPr>
        <w:pStyle w:val="Paragraphedeliste"/>
        <w:spacing w:line="240" w:lineRule="auto"/>
        <w:ind w:left="0"/>
        <w:jc w:val="both"/>
        <w:rPr>
          <w:rFonts w:ascii="Arial" w:hAnsi="Arial" w:cs="Arial"/>
        </w:rPr>
      </w:pPr>
      <w:r w:rsidRPr="00CD770A">
        <w:rPr>
          <w:rFonts w:ascii="Arial" w:hAnsi="Arial" w:cs="Arial"/>
          <w:lang w:val="fr-LU"/>
        </w:rPr>
        <w:t>adéquates afin d’amener les entreprises de recourir effectivement aux nouvelles possibilités offertes par la loi et d’en tirer tous les bénéfices potentiels.</w:t>
      </w:r>
    </w:p>
    <w:p w:rsidR="000243F4" w:rsidRDefault="000243F4" w:rsidP="00B8788B">
      <w:pPr>
        <w:pStyle w:val="Paragraphedeliste"/>
        <w:spacing w:line="240" w:lineRule="auto"/>
        <w:ind w:left="0"/>
        <w:jc w:val="both"/>
        <w:rPr>
          <w:rFonts w:ascii="Arial" w:hAnsi="Arial" w:cs="Arial"/>
        </w:rPr>
      </w:pPr>
    </w:p>
    <w:p w:rsidR="000243F4" w:rsidRDefault="009254F1" w:rsidP="009254F1">
      <w:pPr>
        <w:rPr>
          <w:rFonts w:ascii="Arial" w:hAnsi="Arial" w:cs="Arial"/>
        </w:rPr>
      </w:pPr>
      <w:r w:rsidRPr="009254F1">
        <w:rPr>
          <w:rFonts w:ascii="Arial" w:hAnsi="Arial" w:cs="Arial"/>
        </w:rPr>
        <w:t xml:space="preserve">Afin de permettre donc une numérisation d’une des procédures utilisée dans le contexte des marchés publics, la facturation, la directive crée une obligation pour les </w:t>
      </w:r>
      <w:r w:rsidRPr="000243F4">
        <w:rPr>
          <w:rFonts w:ascii="Arial" w:hAnsi="Arial" w:cs="Arial"/>
          <w:b/>
        </w:rPr>
        <w:t>pouvoirs adjudicateurs</w:t>
      </w:r>
      <w:r w:rsidRPr="009254F1">
        <w:rPr>
          <w:rFonts w:ascii="Arial" w:hAnsi="Arial" w:cs="Arial"/>
        </w:rPr>
        <w:t xml:space="preserve"> et les </w:t>
      </w:r>
      <w:r w:rsidRPr="000243F4">
        <w:rPr>
          <w:rFonts w:ascii="Arial" w:hAnsi="Arial" w:cs="Arial"/>
          <w:b/>
        </w:rPr>
        <w:t>entités adjudicatrices</w:t>
      </w:r>
      <w:r w:rsidRPr="009254F1">
        <w:rPr>
          <w:rFonts w:ascii="Arial" w:hAnsi="Arial" w:cs="Arial"/>
        </w:rPr>
        <w:t xml:space="preserve"> de recevoir et de traiter des factures électroniques conformes à</w:t>
      </w:r>
    </w:p>
    <w:p w:rsidR="000243F4" w:rsidRDefault="000243F4" w:rsidP="009254F1">
      <w:pPr>
        <w:ind w:firstLine="567"/>
        <w:rPr>
          <w:rFonts w:ascii="Arial" w:hAnsi="Arial" w:cs="Arial"/>
        </w:rPr>
      </w:pPr>
      <w:r>
        <w:rPr>
          <w:rFonts w:ascii="Arial" w:hAnsi="Arial" w:cs="Arial"/>
        </w:rPr>
        <w:t xml:space="preserve">- </w:t>
      </w:r>
      <w:r w:rsidR="009254F1" w:rsidRPr="009254F1">
        <w:rPr>
          <w:rFonts w:ascii="Arial" w:hAnsi="Arial" w:cs="Arial"/>
        </w:rPr>
        <w:t>la norme européenne</w:t>
      </w:r>
      <w:r>
        <w:rPr>
          <w:rFonts w:ascii="Arial" w:hAnsi="Arial" w:cs="Arial"/>
        </w:rPr>
        <w:t xml:space="preserve">, </w:t>
      </w:r>
      <w:r w:rsidR="009254F1" w:rsidRPr="009254F1">
        <w:rPr>
          <w:rFonts w:ascii="Arial" w:hAnsi="Arial" w:cs="Arial"/>
        </w:rPr>
        <w:t>et</w:t>
      </w:r>
    </w:p>
    <w:p w:rsidR="009254F1" w:rsidRDefault="000243F4" w:rsidP="009254F1">
      <w:pPr>
        <w:ind w:firstLine="567"/>
        <w:rPr>
          <w:rFonts w:ascii="Arial" w:hAnsi="Arial" w:cs="Arial"/>
        </w:rPr>
      </w:pPr>
      <w:r>
        <w:rPr>
          <w:rFonts w:ascii="Arial" w:hAnsi="Arial" w:cs="Arial"/>
        </w:rPr>
        <w:t xml:space="preserve">- </w:t>
      </w:r>
      <w:r w:rsidR="009254F1" w:rsidRPr="009254F1">
        <w:rPr>
          <w:rFonts w:ascii="Arial" w:hAnsi="Arial" w:cs="Arial"/>
        </w:rPr>
        <w:t>une des syntaxes figurant sur la liste publiée par la Commission européenne.</w:t>
      </w:r>
    </w:p>
    <w:p w:rsidR="009254F1" w:rsidRDefault="009254F1">
      <w:pPr>
        <w:rPr>
          <w:rFonts w:ascii="Arial" w:hAnsi="Arial" w:cs="Arial"/>
        </w:rPr>
      </w:pPr>
    </w:p>
    <w:p w:rsidR="009254F1" w:rsidRDefault="009254F1">
      <w:pPr>
        <w:rPr>
          <w:rFonts w:ascii="Arial" w:hAnsi="Arial" w:cs="Arial"/>
        </w:rPr>
      </w:pPr>
    </w:p>
    <w:p w:rsidR="009254F1" w:rsidRDefault="009254F1">
      <w:pPr>
        <w:rPr>
          <w:rFonts w:ascii="Arial" w:hAnsi="Arial" w:cs="Arial"/>
        </w:rPr>
      </w:pPr>
    </w:p>
    <w:p w:rsidR="009254F1" w:rsidRDefault="009254F1">
      <w:pPr>
        <w:rPr>
          <w:rFonts w:ascii="Arial" w:hAnsi="Arial" w:cs="Arial"/>
        </w:rPr>
      </w:pPr>
    </w:p>
    <w:p w:rsidR="009254F1" w:rsidRDefault="009254F1">
      <w:pPr>
        <w:rPr>
          <w:rFonts w:ascii="Arial" w:hAnsi="Arial" w:cs="Arial"/>
        </w:rPr>
      </w:pPr>
    </w:p>
    <w:p w:rsidR="009254F1" w:rsidRDefault="009254F1">
      <w:pPr>
        <w:rPr>
          <w:rFonts w:ascii="Arial" w:hAnsi="Arial" w:cs="Arial"/>
        </w:rPr>
      </w:pPr>
    </w:p>
    <w:p w:rsidR="009254F1" w:rsidRPr="009254F1" w:rsidRDefault="009254F1">
      <w:pPr>
        <w:rPr>
          <w:rFonts w:ascii="Arial" w:hAnsi="Arial" w:cs="Arial"/>
        </w:rPr>
      </w:pPr>
    </w:p>
    <w:sectPr w:rsidR="009254F1" w:rsidRPr="00925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0E92"/>
    <w:multiLevelType w:val="hybridMultilevel"/>
    <w:tmpl w:val="32A2DF0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6F525B0"/>
    <w:multiLevelType w:val="hybridMultilevel"/>
    <w:tmpl w:val="142892F8"/>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48EA0C3B"/>
    <w:multiLevelType w:val="hybridMultilevel"/>
    <w:tmpl w:val="BB1CCA1E"/>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633E1DB2"/>
    <w:multiLevelType w:val="hybridMultilevel"/>
    <w:tmpl w:val="F90E1690"/>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7BA301E5"/>
    <w:multiLevelType w:val="hybridMultilevel"/>
    <w:tmpl w:val="45B0F2C0"/>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7E026694"/>
    <w:multiLevelType w:val="hybridMultilevel"/>
    <w:tmpl w:val="8A80DB2A"/>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4F1"/>
    <w:rsid w:val="000243F4"/>
    <w:rsid w:val="000323D1"/>
    <w:rsid w:val="00173CD0"/>
    <w:rsid w:val="002D0E97"/>
    <w:rsid w:val="009254F1"/>
    <w:rsid w:val="009702B7"/>
    <w:rsid w:val="009B585F"/>
    <w:rsid w:val="00B509B0"/>
    <w:rsid w:val="00B8788B"/>
    <w:rsid w:val="00CD770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A97FD8-AE0B-4C36-AAA4-A57FCF4C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3F4"/>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27C204F-71CF-4FF6-B7C5-240E9956D1B3}"/>
</file>

<file path=customXml/itemProps2.xml><?xml version="1.0" encoding="utf-8"?>
<ds:datastoreItem xmlns:ds="http://schemas.openxmlformats.org/officeDocument/2006/customXml" ds:itemID="{2B19CCFB-91B5-4CA1-A7D4-BF9E8D325D43}"/>
</file>

<file path=customXml/itemProps3.xml><?xml version="1.0" encoding="utf-8"?>
<ds:datastoreItem xmlns:ds="http://schemas.openxmlformats.org/officeDocument/2006/customXml" ds:itemID="{719C2224-FC4C-48E3-BFEF-C00B4A90497D}"/>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3873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