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A24" w:rsidRDefault="00982A24" w:rsidP="00982A24">
      <w:pPr>
        <w:spacing w:line="252" w:lineRule="auto"/>
        <w:jc w:val="center"/>
        <w:rPr>
          <w:rFonts w:ascii="Arial" w:hAnsi="Arial" w:cs="Arial"/>
          <w:b/>
          <w:bCs/>
          <w:color w:val="FF0000"/>
          <w:sz w:val="28"/>
          <w:szCs w:val="28"/>
          <w:u w:val="single"/>
          <w:lang w:val="fr-FR" w:eastAsia="fr-FR"/>
        </w:rPr>
      </w:pPr>
      <w:bookmarkStart w:id="0" w:name="_GoBack"/>
      <w:bookmarkEnd w:id="0"/>
      <w:r>
        <w:rPr>
          <w:rFonts w:ascii="Arial" w:hAnsi="Arial" w:cs="Arial"/>
          <w:b/>
          <w:bCs/>
          <w:color w:val="FF0000"/>
          <w:sz w:val="28"/>
          <w:szCs w:val="28"/>
          <w:u w:val="single"/>
          <w:lang w:val="fr-FR" w:eastAsia="fr-FR"/>
        </w:rPr>
        <w:t>PL 7</w:t>
      </w:r>
      <w:r w:rsidR="00282AFC">
        <w:rPr>
          <w:rFonts w:ascii="Arial" w:hAnsi="Arial" w:cs="Arial"/>
          <w:b/>
          <w:bCs/>
          <w:color w:val="FF0000"/>
          <w:sz w:val="28"/>
          <w:szCs w:val="28"/>
          <w:u w:val="single"/>
          <w:lang w:val="fr-FR" w:eastAsia="fr-FR"/>
        </w:rPr>
        <w:t>269</w:t>
      </w:r>
      <w:r>
        <w:rPr>
          <w:rFonts w:ascii="Arial" w:hAnsi="Arial" w:cs="Arial"/>
          <w:b/>
          <w:bCs/>
          <w:color w:val="FF0000"/>
          <w:sz w:val="28"/>
          <w:szCs w:val="28"/>
          <w:u w:val="single"/>
          <w:lang w:val="fr-FR" w:eastAsia="fr-FR"/>
        </w:rPr>
        <w:t xml:space="preserve"> (Synthèse)</w:t>
      </w:r>
    </w:p>
    <w:p w:rsidR="00982A24" w:rsidRDefault="00982A24" w:rsidP="00982A24">
      <w:pPr>
        <w:spacing w:after="0" w:line="240" w:lineRule="auto"/>
        <w:jc w:val="both"/>
        <w:rPr>
          <w:rFonts w:ascii="Arial" w:hAnsi="Arial" w:cs="Arial"/>
          <w:lang w:val="fr-FR"/>
        </w:rPr>
      </w:pPr>
    </w:p>
    <w:p w:rsidR="005F37BF" w:rsidRPr="00982A24" w:rsidRDefault="00982A24" w:rsidP="00982A24">
      <w:pPr>
        <w:numPr>
          <w:ilvl w:val="0"/>
          <w:numId w:val="2"/>
        </w:numPr>
        <w:spacing w:after="0" w:line="240" w:lineRule="auto"/>
        <w:jc w:val="both"/>
        <w:rPr>
          <w:rFonts w:ascii="Arial" w:eastAsia="Arial" w:hAnsi="Arial" w:cs="Arial"/>
          <w:szCs w:val="20"/>
          <w:lang w:eastAsia="fr-LU"/>
        </w:rPr>
      </w:pPr>
      <w:r>
        <w:rPr>
          <w:rFonts w:ascii="Arial" w:eastAsia="Arial" w:hAnsi="Arial" w:cs="Arial"/>
          <w:szCs w:val="20"/>
          <w:lang w:eastAsia="fr-LU"/>
        </w:rPr>
        <w:t xml:space="preserve">Le </w:t>
      </w:r>
      <w:r w:rsidRPr="00982A24">
        <w:rPr>
          <w:rFonts w:ascii="Arial" w:eastAsia="Arial" w:hAnsi="Arial" w:cs="Arial"/>
          <w:szCs w:val="20"/>
          <w:u w:val="single"/>
          <w:lang w:eastAsia="fr-LU"/>
        </w:rPr>
        <w:t>projet de loi n° 7269 (PL 7398)</w:t>
      </w:r>
      <w:r>
        <w:rPr>
          <w:rFonts w:ascii="Arial" w:eastAsia="Arial" w:hAnsi="Arial" w:cs="Arial"/>
          <w:szCs w:val="20"/>
          <w:lang w:eastAsia="fr-LU"/>
        </w:rPr>
        <w:t xml:space="preserve"> a pour </w:t>
      </w:r>
      <w:r w:rsidR="005F37BF" w:rsidRPr="00982A24">
        <w:rPr>
          <w:rFonts w:ascii="Arial" w:hAnsi="Arial" w:cs="Arial"/>
          <w:lang w:val="fr-CH"/>
        </w:rPr>
        <w:t>objet de créer une nouvelle « </w:t>
      </w:r>
      <w:r w:rsidR="005F37BF" w:rsidRPr="00982A24">
        <w:rPr>
          <w:rFonts w:ascii="Arial" w:hAnsi="Arial" w:cs="Arial"/>
          <w:i/>
          <w:lang w:val="fr-CH"/>
        </w:rPr>
        <w:t>activité d'assistance à l'inclusion dans l'emploi</w:t>
      </w:r>
      <w:r w:rsidR="005F37BF" w:rsidRPr="00982A24">
        <w:rPr>
          <w:rFonts w:ascii="Arial" w:hAnsi="Arial" w:cs="Arial"/>
          <w:lang w:val="fr-CH"/>
        </w:rPr>
        <w:t xml:space="preserve"> », dénommée ci-après « activité d'assistance » au profit des personnes ayant le statut de salarié handicapé ou étant en reclassement externe. </w:t>
      </w:r>
    </w:p>
    <w:p w:rsidR="005F37BF" w:rsidRDefault="005F37BF" w:rsidP="005F37BF">
      <w:pPr>
        <w:pStyle w:val="IIIIII"/>
        <w:numPr>
          <w:ilvl w:val="0"/>
          <w:numId w:val="0"/>
        </w:numPr>
        <w:jc w:val="both"/>
        <w:rPr>
          <w:rFonts w:ascii="Arial" w:hAnsi="Arial" w:cs="Arial"/>
          <w:sz w:val="22"/>
          <w:szCs w:val="22"/>
          <w:lang w:val="fr-CH"/>
        </w:rPr>
      </w:pPr>
    </w:p>
    <w:p w:rsidR="005F37BF" w:rsidRDefault="005F37BF" w:rsidP="00982A24">
      <w:pPr>
        <w:pStyle w:val="IIIIII"/>
        <w:numPr>
          <w:ilvl w:val="0"/>
          <w:numId w:val="0"/>
        </w:numPr>
        <w:ind w:left="709"/>
        <w:jc w:val="both"/>
        <w:rPr>
          <w:rFonts w:ascii="Arial" w:hAnsi="Arial" w:cs="Arial"/>
          <w:sz w:val="22"/>
          <w:szCs w:val="22"/>
          <w:lang w:val="fr-FR"/>
        </w:rPr>
      </w:pPr>
      <w:r>
        <w:rPr>
          <w:rFonts w:ascii="Arial" w:hAnsi="Arial" w:cs="Arial"/>
          <w:sz w:val="22"/>
          <w:szCs w:val="22"/>
          <w:lang w:val="fr-CH"/>
        </w:rPr>
        <w:t xml:space="preserve">L'introduction de ce nouveau dispositif dans le Code du travail traduit la détermination du Gouvernement de vouloir honorer ses obligations et engagements qu'il a pris en signant la Convention relative aux droits des personnes handicapées (CRDPH), et particulièrement son article 27 relatif au travail et à l'emploi. </w:t>
      </w:r>
      <w:r>
        <w:rPr>
          <w:rFonts w:ascii="Arial" w:hAnsi="Arial" w:cs="Arial"/>
          <w:sz w:val="22"/>
          <w:szCs w:val="22"/>
          <w:lang w:val="fr-FR"/>
        </w:rPr>
        <w:t>Cet article dispose, entre autres, que les Etats parties s’engagent à prendre les mesures appropriées pour promouvoir les possibilités d’emploi et d’avancement des personnes handicapées sur le marché du travail, ainsi que l’aide à la recherche et à l’obtention d’un emploi, au maintien dans l’emploi et au retour à l’emploi.</w:t>
      </w:r>
    </w:p>
    <w:p w:rsidR="005F37BF" w:rsidRDefault="005F37BF" w:rsidP="005F37BF">
      <w:pPr>
        <w:pStyle w:val="IIIIII"/>
        <w:numPr>
          <w:ilvl w:val="0"/>
          <w:numId w:val="0"/>
        </w:numPr>
        <w:jc w:val="both"/>
        <w:rPr>
          <w:rFonts w:ascii="Arial" w:hAnsi="Arial" w:cs="Arial"/>
          <w:sz w:val="22"/>
          <w:szCs w:val="22"/>
          <w:lang w:val="fr-FR"/>
        </w:rPr>
      </w:pPr>
    </w:p>
    <w:p w:rsidR="005F37BF" w:rsidRDefault="005F37BF" w:rsidP="001461F9">
      <w:pPr>
        <w:pStyle w:val="IIIIII"/>
        <w:numPr>
          <w:ilvl w:val="0"/>
          <w:numId w:val="2"/>
        </w:numPr>
        <w:jc w:val="both"/>
        <w:rPr>
          <w:rFonts w:ascii="Arial" w:hAnsi="Arial" w:cs="Arial"/>
          <w:sz w:val="22"/>
          <w:szCs w:val="22"/>
          <w:lang w:val="fr-CH"/>
        </w:rPr>
      </w:pPr>
      <w:r>
        <w:rPr>
          <w:rFonts w:ascii="Arial" w:hAnsi="Arial" w:cs="Arial"/>
          <w:sz w:val="22"/>
          <w:szCs w:val="22"/>
          <w:lang w:val="fr-CH"/>
        </w:rPr>
        <w:t>Selon les auteurs, la future loi contribuera notamment à :</w:t>
      </w:r>
    </w:p>
    <w:p w:rsidR="005F37BF" w:rsidRDefault="005F37BF" w:rsidP="005F37BF">
      <w:pPr>
        <w:pStyle w:val="IIIIII"/>
        <w:numPr>
          <w:ilvl w:val="0"/>
          <w:numId w:val="0"/>
        </w:numPr>
        <w:jc w:val="both"/>
        <w:rPr>
          <w:rFonts w:ascii="Arial" w:hAnsi="Arial" w:cs="Arial"/>
          <w:sz w:val="16"/>
          <w:szCs w:val="16"/>
          <w:lang w:val="fr-CH"/>
        </w:rPr>
      </w:pPr>
    </w:p>
    <w:p w:rsidR="005F37BF" w:rsidRDefault="005F37BF" w:rsidP="001461F9">
      <w:pPr>
        <w:pStyle w:val="IIIIII"/>
        <w:numPr>
          <w:ilvl w:val="0"/>
          <w:numId w:val="0"/>
        </w:numPr>
        <w:ind w:left="1276" w:hanging="142"/>
        <w:jc w:val="both"/>
        <w:rPr>
          <w:rFonts w:ascii="Arial" w:hAnsi="Arial" w:cs="Arial"/>
          <w:sz w:val="22"/>
          <w:szCs w:val="22"/>
          <w:lang w:val="fr-CH"/>
        </w:rPr>
      </w:pPr>
      <w:r>
        <w:rPr>
          <w:rFonts w:ascii="Arial" w:hAnsi="Arial" w:cs="Arial"/>
          <w:sz w:val="22"/>
          <w:szCs w:val="22"/>
          <w:lang w:val="fr-CH"/>
        </w:rPr>
        <w:t>- aboutir à une plus grande égalité de traitement des salariés handicapés et en reclassement externe vis-à-vis des autres salariés ;</w:t>
      </w:r>
    </w:p>
    <w:p w:rsidR="005F37BF" w:rsidRDefault="005F37BF" w:rsidP="001461F9">
      <w:pPr>
        <w:pStyle w:val="IIIIII"/>
        <w:numPr>
          <w:ilvl w:val="0"/>
          <w:numId w:val="0"/>
        </w:numPr>
        <w:ind w:firstLine="567"/>
        <w:jc w:val="both"/>
        <w:rPr>
          <w:rFonts w:ascii="Arial" w:hAnsi="Arial" w:cs="Arial"/>
          <w:sz w:val="16"/>
          <w:szCs w:val="16"/>
          <w:lang w:val="fr-CH"/>
        </w:rPr>
      </w:pPr>
    </w:p>
    <w:p w:rsidR="005F37BF" w:rsidRDefault="005F37BF" w:rsidP="001461F9">
      <w:pPr>
        <w:pStyle w:val="IIIIII"/>
        <w:numPr>
          <w:ilvl w:val="0"/>
          <w:numId w:val="0"/>
        </w:numPr>
        <w:ind w:left="1276" w:hanging="142"/>
        <w:jc w:val="both"/>
        <w:rPr>
          <w:rFonts w:ascii="Arial" w:hAnsi="Arial" w:cs="Arial"/>
          <w:sz w:val="22"/>
          <w:szCs w:val="22"/>
          <w:lang w:val="fr-CH"/>
        </w:rPr>
      </w:pPr>
      <w:r>
        <w:rPr>
          <w:rFonts w:ascii="Arial" w:hAnsi="Arial" w:cs="Arial"/>
          <w:sz w:val="22"/>
          <w:szCs w:val="22"/>
          <w:lang w:val="fr-CH"/>
        </w:rPr>
        <w:t>- faciliter l’intégration des salariés handicapés et des salariés en reclassement externe sur le marché de travail ordinaire ;</w:t>
      </w:r>
    </w:p>
    <w:p w:rsidR="005F37BF" w:rsidRDefault="005F37BF" w:rsidP="001461F9">
      <w:pPr>
        <w:pStyle w:val="IIIIII"/>
        <w:numPr>
          <w:ilvl w:val="0"/>
          <w:numId w:val="0"/>
        </w:numPr>
        <w:ind w:left="426" w:firstLine="567"/>
        <w:jc w:val="both"/>
        <w:rPr>
          <w:rFonts w:ascii="Arial" w:hAnsi="Arial" w:cs="Arial"/>
          <w:sz w:val="16"/>
          <w:szCs w:val="16"/>
          <w:lang w:val="fr-CH"/>
        </w:rPr>
      </w:pPr>
    </w:p>
    <w:p w:rsidR="005F37BF" w:rsidRDefault="005F37BF" w:rsidP="001461F9">
      <w:pPr>
        <w:pStyle w:val="IIIIII"/>
        <w:numPr>
          <w:ilvl w:val="0"/>
          <w:numId w:val="0"/>
        </w:numPr>
        <w:ind w:left="1276" w:hanging="142"/>
        <w:jc w:val="both"/>
        <w:rPr>
          <w:rFonts w:ascii="Arial" w:hAnsi="Arial" w:cs="Arial"/>
          <w:sz w:val="22"/>
          <w:szCs w:val="22"/>
          <w:lang w:val="fr-CH"/>
        </w:rPr>
      </w:pPr>
      <w:r>
        <w:rPr>
          <w:rFonts w:ascii="Arial" w:hAnsi="Arial" w:cs="Arial"/>
          <w:sz w:val="22"/>
          <w:szCs w:val="22"/>
          <w:lang w:val="fr-CH"/>
        </w:rPr>
        <w:t>- inciter les patrons à engager plus de salariés handicapés et en reclassement externe ;</w:t>
      </w:r>
    </w:p>
    <w:p w:rsidR="005F37BF" w:rsidRDefault="005F37BF" w:rsidP="001461F9">
      <w:pPr>
        <w:pStyle w:val="IIIIII"/>
        <w:numPr>
          <w:ilvl w:val="0"/>
          <w:numId w:val="0"/>
        </w:numPr>
        <w:ind w:left="567" w:firstLine="567"/>
        <w:jc w:val="both"/>
        <w:rPr>
          <w:rFonts w:ascii="Arial" w:hAnsi="Arial" w:cs="Arial"/>
          <w:sz w:val="16"/>
          <w:szCs w:val="16"/>
          <w:lang w:val="fr-CH"/>
        </w:rPr>
      </w:pPr>
    </w:p>
    <w:p w:rsidR="005F37BF" w:rsidRDefault="005F37BF" w:rsidP="001461F9">
      <w:pPr>
        <w:pStyle w:val="IIIIII"/>
        <w:numPr>
          <w:ilvl w:val="0"/>
          <w:numId w:val="0"/>
        </w:numPr>
        <w:ind w:left="1276" w:hanging="142"/>
        <w:jc w:val="both"/>
        <w:rPr>
          <w:rFonts w:ascii="Arial" w:hAnsi="Arial" w:cs="Arial"/>
          <w:sz w:val="22"/>
          <w:szCs w:val="22"/>
          <w:lang w:val="fr-CH"/>
        </w:rPr>
      </w:pPr>
      <w:r>
        <w:rPr>
          <w:rFonts w:ascii="Arial" w:hAnsi="Arial" w:cs="Arial"/>
          <w:sz w:val="22"/>
          <w:szCs w:val="22"/>
          <w:lang w:val="fr-CH"/>
        </w:rPr>
        <w:t>- favoriser le maintien dans l’emploi des personnes en situation de handicap et des salariés en reclassement externe en créant un dispositif sur mesure, permettant aux employeurs, salariés handicapés, salariés en reclassement externe et, le cas échéant, au personnel de l’entreprise, de s’échanger avec des spécialistes et de s’accorder sur les moyens, les formations et mesures adéquates à mettre en place afin d’aboutir à des solutions et à une situation de travail qui satisfassent l’ensemble des acteurs ;</w:t>
      </w:r>
    </w:p>
    <w:p w:rsidR="005F37BF" w:rsidRDefault="005F37BF" w:rsidP="001461F9">
      <w:pPr>
        <w:pStyle w:val="IIIIII"/>
        <w:numPr>
          <w:ilvl w:val="0"/>
          <w:numId w:val="0"/>
        </w:numPr>
        <w:ind w:left="426" w:firstLine="567"/>
        <w:jc w:val="both"/>
        <w:rPr>
          <w:rFonts w:ascii="Arial" w:hAnsi="Arial" w:cs="Arial"/>
          <w:sz w:val="16"/>
          <w:szCs w:val="16"/>
          <w:lang w:val="fr-CH"/>
        </w:rPr>
      </w:pPr>
    </w:p>
    <w:p w:rsidR="005F37BF" w:rsidRDefault="005F37BF" w:rsidP="001461F9">
      <w:pPr>
        <w:pStyle w:val="IIIIII"/>
        <w:numPr>
          <w:ilvl w:val="0"/>
          <w:numId w:val="0"/>
        </w:numPr>
        <w:ind w:left="1276" w:hanging="142"/>
        <w:jc w:val="both"/>
        <w:rPr>
          <w:rFonts w:ascii="Arial" w:hAnsi="Arial" w:cs="Arial"/>
          <w:sz w:val="22"/>
          <w:szCs w:val="22"/>
          <w:lang w:val="fr-CH"/>
        </w:rPr>
      </w:pPr>
      <w:r>
        <w:rPr>
          <w:rFonts w:ascii="Arial" w:hAnsi="Arial" w:cs="Arial"/>
          <w:sz w:val="22"/>
          <w:szCs w:val="22"/>
          <w:lang w:val="fr-CH"/>
        </w:rPr>
        <w:t>- réglementer l’activité d’assistance à l’inclusion dans l’emploi afin de s’assurer que les salariés handicapés et en reclassement externe puissent bénéficier d’un encadrement et d’une assistance professionnelle adaptés à leurs besoins.</w:t>
      </w:r>
    </w:p>
    <w:p w:rsidR="001461F9" w:rsidRDefault="001461F9" w:rsidP="005F37BF">
      <w:pPr>
        <w:pStyle w:val="IIIIII"/>
        <w:numPr>
          <w:ilvl w:val="0"/>
          <w:numId w:val="0"/>
        </w:numPr>
        <w:jc w:val="both"/>
        <w:rPr>
          <w:rFonts w:ascii="Arial" w:hAnsi="Arial" w:cs="Arial"/>
          <w:sz w:val="22"/>
          <w:szCs w:val="22"/>
          <w:lang w:val="fr-CH"/>
        </w:rPr>
      </w:pPr>
    </w:p>
    <w:p w:rsidR="005F37BF" w:rsidRDefault="005F37BF" w:rsidP="00530359">
      <w:pPr>
        <w:pStyle w:val="IIIIII"/>
        <w:numPr>
          <w:ilvl w:val="0"/>
          <w:numId w:val="2"/>
        </w:numPr>
        <w:jc w:val="both"/>
        <w:rPr>
          <w:rFonts w:ascii="Arial" w:hAnsi="Arial" w:cs="Arial"/>
          <w:sz w:val="22"/>
          <w:szCs w:val="22"/>
          <w:lang w:val="fr-CH"/>
        </w:rPr>
      </w:pPr>
      <w:r>
        <w:rPr>
          <w:rFonts w:ascii="Arial" w:hAnsi="Arial" w:cs="Arial"/>
          <w:sz w:val="22"/>
          <w:szCs w:val="22"/>
          <w:lang w:val="fr-CH"/>
        </w:rPr>
        <w:t>Afin de pouvoir bénéficier de l'assistance, le salarié handicapé ou le salarié en reclassement externe doit, soit être engagé par un employeur du secteur privé dans le cadre d’une mesure en faveur de l’emploi, soit être engagé sous contrat de travail par un employeur. La demande d’assistance est adressée au directeur de l’ADEM. Son accord donne droit à la prise en charge par le Fonds pour l'emploi de la prestation de l'assistant ou du service d'assistance pour le nombre d'heures et la durée prévues dans le projet individualisé.</w:t>
      </w:r>
    </w:p>
    <w:p w:rsidR="005F37BF" w:rsidRDefault="005F37BF" w:rsidP="005F37BF">
      <w:pPr>
        <w:pStyle w:val="IIIIII"/>
        <w:numPr>
          <w:ilvl w:val="0"/>
          <w:numId w:val="0"/>
        </w:numPr>
        <w:jc w:val="both"/>
        <w:rPr>
          <w:rFonts w:ascii="Arial" w:hAnsi="Arial" w:cs="Arial"/>
          <w:sz w:val="22"/>
          <w:szCs w:val="22"/>
          <w:lang w:val="fr-CH"/>
        </w:rPr>
      </w:pPr>
    </w:p>
    <w:p w:rsidR="005F37BF" w:rsidRDefault="005F37BF" w:rsidP="00530359">
      <w:pPr>
        <w:pStyle w:val="IIIIII"/>
        <w:numPr>
          <w:ilvl w:val="0"/>
          <w:numId w:val="2"/>
        </w:numPr>
        <w:jc w:val="both"/>
        <w:rPr>
          <w:rFonts w:ascii="Arial" w:hAnsi="Arial" w:cs="Arial"/>
          <w:sz w:val="22"/>
          <w:szCs w:val="22"/>
          <w:lang w:val="fr-FR"/>
        </w:rPr>
      </w:pPr>
      <w:r>
        <w:rPr>
          <w:rFonts w:ascii="Arial" w:hAnsi="Arial" w:cs="Arial"/>
          <w:sz w:val="22"/>
          <w:szCs w:val="22"/>
          <w:lang w:val="fr-CH"/>
        </w:rPr>
        <w:t>En raison de la grande responsabilité incombant aux futurs assistants et vu que le financement de l'assistance est assuré par le Fonds pour l'emploi, le nouveau dispositif met en place un agrément à la fois pour « l'assistant à l'inclusion dans l'emploi agréé » et pour le « service d'assistance à l'inclusion dans l'emploi agréé</w:t>
      </w:r>
      <w:r>
        <w:rPr>
          <w:rFonts w:ascii="Arial" w:hAnsi="Arial" w:cs="Arial"/>
          <w:lang w:val="fr-FR"/>
        </w:rPr>
        <w:t> ».</w:t>
      </w:r>
    </w:p>
    <w:p w:rsidR="005F37BF" w:rsidRDefault="005F37BF" w:rsidP="005F37BF">
      <w:pPr>
        <w:pStyle w:val="IIIIII"/>
        <w:numPr>
          <w:ilvl w:val="0"/>
          <w:numId w:val="0"/>
        </w:numPr>
        <w:jc w:val="both"/>
        <w:rPr>
          <w:rFonts w:ascii="Arial" w:hAnsi="Arial" w:cs="Arial"/>
          <w:sz w:val="22"/>
          <w:szCs w:val="22"/>
          <w:lang w:val="fr-CH"/>
        </w:rPr>
      </w:pPr>
    </w:p>
    <w:p w:rsidR="005F37BF" w:rsidRDefault="005F37BF" w:rsidP="00530359">
      <w:pPr>
        <w:pStyle w:val="IIIIII"/>
        <w:numPr>
          <w:ilvl w:val="0"/>
          <w:numId w:val="0"/>
        </w:numPr>
        <w:ind w:left="709"/>
        <w:jc w:val="both"/>
        <w:rPr>
          <w:rFonts w:ascii="Arial" w:hAnsi="Arial" w:cs="Arial"/>
          <w:sz w:val="22"/>
          <w:szCs w:val="22"/>
          <w:lang w:val="fr-CH"/>
        </w:rPr>
      </w:pPr>
      <w:r>
        <w:rPr>
          <w:rFonts w:ascii="Arial" w:hAnsi="Arial" w:cs="Arial"/>
          <w:sz w:val="22"/>
          <w:szCs w:val="22"/>
          <w:lang w:val="fr-CH"/>
        </w:rPr>
        <w:t>Aux termes du projet de loi, la délivrance de l'agrément pour l'exercice de l'activité d'assistance est subordonnée à quelques conditions cumulatives, dont notamment</w:t>
      </w:r>
    </w:p>
    <w:p w:rsidR="00530359" w:rsidRPr="00530359" w:rsidRDefault="00530359" w:rsidP="00530359">
      <w:pPr>
        <w:pStyle w:val="IIIIII"/>
        <w:numPr>
          <w:ilvl w:val="0"/>
          <w:numId w:val="0"/>
        </w:numPr>
        <w:ind w:left="709"/>
        <w:jc w:val="both"/>
        <w:rPr>
          <w:rFonts w:ascii="Arial" w:hAnsi="Arial" w:cs="Arial"/>
          <w:sz w:val="16"/>
          <w:szCs w:val="16"/>
          <w:lang w:val="fr-CH"/>
        </w:rPr>
      </w:pPr>
    </w:p>
    <w:p w:rsidR="005F37BF" w:rsidRPr="00530359" w:rsidRDefault="00530359" w:rsidP="00530359">
      <w:pPr>
        <w:pStyle w:val="IIIIII"/>
        <w:numPr>
          <w:ilvl w:val="0"/>
          <w:numId w:val="0"/>
        </w:numPr>
        <w:ind w:firstLine="1134"/>
        <w:jc w:val="both"/>
        <w:rPr>
          <w:rFonts w:ascii="Arial" w:hAnsi="Arial" w:cs="Arial"/>
          <w:bCs/>
          <w:sz w:val="22"/>
          <w:szCs w:val="22"/>
          <w:lang w:val="fr-CH"/>
        </w:rPr>
      </w:pPr>
      <w:r w:rsidRPr="00530359">
        <w:rPr>
          <w:rFonts w:ascii="Arial" w:hAnsi="Arial" w:cs="Arial"/>
          <w:bCs/>
          <w:sz w:val="22"/>
          <w:szCs w:val="22"/>
          <w:lang w:val="fr-CH"/>
        </w:rPr>
        <w:lastRenderedPageBreak/>
        <w:t xml:space="preserve">- </w:t>
      </w:r>
      <w:r w:rsidR="005F37BF" w:rsidRPr="00530359">
        <w:rPr>
          <w:rFonts w:ascii="Arial" w:hAnsi="Arial" w:cs="Arial"/>
          <w:bCs/>
          <w:sz w:val="22"/>
          <w:szCs w:val="22"/>
          <w:lang w:val="fr-CH"/>
        </w:rPr>
        <w:t>une qualification professionnelle adéquate,</w:t>
      </w:r>
    </w:p>
    <w:p w:rsidR="00530359" w:rsidRPr="00530359" w:rsidRDefault="00530359" w:rsidP="00530359">
      <w:pPr>
        <w:pStyle w:val="IIIIII"/>
        <w:numPr>
          <w:ilvl w:val="0"/>
          <w:numId w:val="0"/>
        </w:numPr>
        <w:ind w:firstLine="1134"/>
        <w:jc w:val="both"/>
        <w:rPr>
          <w:rFonts w:ascii="Arial" w:hAnsi="Arial" w:cs="Arial"/>
          <w:sz w:val="16"/>
          <w:szCs w:val="16"/>
          <w:lang w:val="fr-CH"/>
        </w:rPr>
      </w:pPr>
    </w:p>
    <w:p w:rsidR="005F37BF" w:rsidRPr="00530359" w:rsidRDefault="00530359" w:rsidP="00530359">
      <w:pPr>
        <w:pStyle w:val="IIIIII"/>
        <w:numPr>
          <w:ilvl w:val="0"/>
          <w:numId w:val="0"/>
        </w:numPr>
        <w:ind w:left="567" w:firstLine="567"/>
        <w:jc w:val="both"/>
        <w:rPr>
          <w:rFonts w:ascii="Arial" w:hAnsi="Arial" w:cs="Arial"/>
          <w:bCs/>
          <w:sz w:val="22"/>
          <w:szCs w:val="22"/>
          <w:lang w:val="fr-CH"/>
        </w:rPr>
      </w:pPr>
      <w:r w:rsidRPr="00530359">
        <w:rPr>
          <w:rFonts w:ascii="Arial" w:hAnsi="Arial" w:cs="Arial"/>
          <w:bCs/>
          <w:sz w:val="22"/>
          <w:szCs w:val="22"/>
          <w:lang w:val="fr-CH"/>
        </w:rPr>
        <w:t xml:space="preserve">- </w:t>
      </w:r>
      <w:r w:rsidR="005F37BF" w:rsidRPr="00530359">
        <w:rPr>
          <w:rFonts w:ascii="Arial" w:hAnsi="Arial" w:cs="Arial"/>
          <w:bCs/>
          <w:sz w:val="22"/>
          <w:szCs w:val="22"/>
          <w:lang w:val="fr-CH"/>
        </w:rPr>
        <w:t>la formation continue,</w:t>
      </w:r>
    </w:p>
    <w:p w:rsidR="00530359" w:rsidRPr="00530359" w:rsidRDefault="00530359" w:rsidP="00530359">
      <w:pPr>
        <w:pStyle w:val="IIIIII"/>
        <w:numPr>
          <w:ilvl w:val="0"/>
          <w:numId w:val="0"/>
        </w:numPr>
        <w:ind w:firstLine="1134"/>
        <w:jc w:val="both"/>
        <w:rPr>
          <w:rFonts w:ascii="Arial" w:hAnsi="Arial" w:cs="Arial"/>
          <w:sz w:val="16"/>
          <w:szCs w:val="16"/>
          <w:lang w:val="fr-CH"/>
        </w:rPr>
      </w:pPr>
    </w:p>
    <w:p w:rsidR="005F37BF" w:rsidRPr="00530359" w:rsidRDefault="00530359" w:rsidP="00530359">
      <w:pPr>
        <w:pStyle w:val="IIIIII"/>
        <w:numPr>
          <w:ilvl w:val="0"/>
          <w:numId w:val="0"/>
        </w:numPr>
        <w:ind w:left="1276" w:hanging="142"/>
        <w:jc w:val="both"/>
        <w:rPr>
          <w:rFonts w:ascii="Arial" w:hAnsi="Arial" w:cs="Arial"/>
          <w:sz w:val="22"/>
          <w:szCs w:val="22"/>
          <w:lang w:val="fr-CH"/>
        </w:rPr>
      </w:pPr>
      <w:r w:rsidRPr="00530359">
        <w:rPr>
          <w:rFonts w:ascii="Arial" w:hAnsi="Arial" w:cs="Arial"/>
          <w:sz w:val="22"/>
          <w:szCs w:val="22"/>
          <w:lang w:val="fr-CH"/>
        </w:rPr>
        <w:t xml:space="preserve">- </w:t>
      </w:r>
      <w:r w:rsidR="005F37BF" w:rsidRPr="00530359">
        <w:rPr>
          <w:rFonts w:ascii="Arial" w:hAnsi="Arial" w:cs="Arial"/>
          <w:sz w:val="22"/>
          <w:szCs w:val="22"/>
          <w:lang w:val="fr-CH"/>
        </w:rPr>
        <w:t>la compréhension et la faculté de s'exprimer dans au moins une des trois langues prévues par la loi du 24 février 1984 sur le régime des langues, et</w:t>
      </w:r>
    </w:p>
    <w:p w:rsidR="00530359" w:rsidRPr="00530359" w:rsidRDefault="00530359" w:rsidP="00530359">
      <w:pPr>
        <w:pStyle w:val="IIIIII"/>
        <w:numPr>
          <w:ilvl w:val="0"/>
          <w:numId w:val="0"/>
        </w:numPr>
        <w:ind w:left="567" w:firstLine="567"/>
        <w:jc w:val="both"/>
        <w:rPr>
          <w:rFonts w:ascii="Arial" w:hAnsi="Arial" w:cs="Arial"/>
          <w:sz w:val="16"/>
          <w:szCs w:val="16"/>
          <w:lang w:val="fr-CH"/>
        </w:rPr>
      </w:pPr>
    </w:p>
    <w:p w:rsidR="005F37BF" w:rsidRPr="00530359" w:rsidRDefault="00530359" w:rsidP="00530359">
      <w:pPr>
        <w:pStyle w:val="IIIIII"/>
        <w:numPr>
          <w:ilvl w:val="0"/>
          <w:numId w:val="0"/>
        </w:numPr>
        <w:ind w:firstLine="1134"/>
        <w:jc w:val="both"/>
        <w:rPr>
          <w:rFonts w:ascii="Arial" w:hAnsi="Arial" w:cs="Arial"/>
          <w:bCs/>
          <w:sz w:val="22"/>
          <w:szCs w:val="22"/>
          <w:lang w:val="fr-CH"/>
        </w:rPr>
      </w:pPr>
      <w:r w:rsidRPr="00530359">
        <w:rPr>
          <w:rFonts w:ascii="Arial" w:hAnsi="Arial" w:cs="Arial"/>
          <w:bCs/>
          <w:sz w:val="22"/>
          <w:szCs w:val="22"/>
          <w:lang w:val="fr-CH"/>
        </w:rPr>
        <w:t xml:space="preserve">- </w:t>
      </w:r>
      <w:r w:rsidR="005F37BF" w:rsidRPr="00530359">
        <w:rPr>
          <w:rFonts w:ascii="Arial" w:hAnsi="Arial" w:cs="Arial"/>
          <w:bCs/>
          <w:sz w:val="22"/>
          <w:szCs w:val="22"/>
          <w:lang w:val="fr-CH"/>
        </w:rPr>
        <w:t>le respect des conditions d'honorabilité.</w:t>
      </w:r>
    </w:p>
    <w:p w:rsidR="005F37BF" w:rsidRDefault="005F37BF" w:rsidP="005F37BF">
      <w:pPr>
        <w:pStyle w:val="IIIIII"/>
        <w:numPr>
          <w:ilvl w:val="0"/>
          <w:numId w:val="0"/>
        </w:numPr>
        <w:jc w:val="both"/>
        <w:rPr>
          <w:rFonts w:ascii="Arial" w:hAnsi="Arial" w:cs="Arial"/>
          <w:sz w:val="22"/>
          <w:szCs w:val="22"/>
          <w:lang w:val="fr-CH"/>
        </w:rPr>
      </w:pPr>
    </w:p>
    <w:p w:rsidR="005F37BF" w:rsidRPr="00530359" w:rsidRDefault="005F37BF" w:rsidP="00530359">
      <w:pPr>
        <w:pStyle w:val="Paragraphedeliste"/>
        <w:numPr>
          <w:ilvl w:val="0"/>
          <w:numId w:val="4"/>
        </w:numPr>
        <w:jc w:val="both"/>
        <w:rPr>
          <w:rFonts w:ascii="Arial" w:hAnsi="Arial" w:cs="Arial"/>
          <w:lang w:val="fr-CH"/>
        </w:rPr>
      </w:pPr>
      <w:r w:rsidRPr="00530359">
        <w:rPr>
          <w:rFonts w:ascii="Arial" w:hAnsi="Arial" w:cs="Arial"/>
          <w:lang w:val="fr-CH"/>
        </w:rPr>
        <w:t>Il est à noter encore que dans le secteur public, l’assistance est assurée par le service psychosocial relevant de la compétence du ministère de la Fonction publique et de la Réforme administrative.</w:t>
      </w:r>
    </w:p>
    <w:p w:rsidR="005F37BF" w:rsidRDefault="005F37BF" w:rsidP="005F37BF">
      <w:pPr>
        <w:pStyle w:val="IIIIII"/>
        <w:numPr>
          <w:ilvl w:val="0"/>
          <w:numId w:val="0"/>
        </w:numPr>
        <w:jc w:val="both"/>
        <w:rPr>
          <w:rFonts w:ascii="Arial" w:hAnsi="Arial" w:cs="Arial"/>
          <w:sz w:val="22"/>
          <w:szCs w:val="22"/>
          <w:lang w:val="fr-CH"/>
        </w:rPr>
      </w:pPr>
    </w:p>
    <w:p w:rsidR="005F37BF" w:rsidRDefault="005F37BF" w:rsidP="005F37BF">
      <w:pPr>
        <w:pStyle w:val="IIIIII"/>
        <w:numPr>
          <w:ilvl w:val="0"/>
          <w:numId w:val="0"/>
        </w:numPr>
        <w:jc w:val="both"/>
        <w:rPr>
          <w:rFonts w:ascii="Arial" w:hAnsi="Arial" w:cs="Arial"/>
          <w:sz w:val="22"/>
          <w:szCs w:val="22"/>
          <w:lang w:val="fr-CH"/>
        </w:rPr>
      </w:pPr>
    </w:p>
    <w:p w:rsidR="005F37BF" w:rsidRDefault="005F37BF" w:rsidP="005F37BF">
      <w:pPr>
        <w:pStyle w:val="IIIIII"/>
        <w:numPr>
          <w:ilvl w:val="0"/>
          <w:numId w:val="0"/>
        </w:numPr>
        <w:jc w:val="both"/>
        <w:rPr>
          <w:rFonts w:ascii="Arial" w:hAnsi="Arial" w:cs="Arial"/>
          <w:sz w:val="22"/>
          <w:szCs w:val="22"/>
          <w:lang w:val="fr-CH"/>
        </w:rPr>
      </w:pPr>
    </w:p>
    <w:sectPr w:rsidR="005F37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A27" w:rsidRDefault="00A35A27" w:rsidP="002527BC">
      <w:pPr>
        <w:spacing w:after="0" w:line="240" w:lineRule="auto"/>
      </w:pPr>
      <w:r>
        <w:separator/>
      </w:r>
    </w:p>
  </w:endnote>
  <w:endnote w:type="continuationSeparator" w:id="0">
    <w:p w:rsidR="00A35A27" w:rsidRDefault="00A35A27" w:rsidP="00252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A27" w:rsidRDefault="00A35A27" w:rsidP="002527BC">
      <w:pPr>
        <w:spacing w:after="0" w:line="240" w:lineRule="auto"/>
      </w:pPr>
      <w:r>
        <w:separator/>
      </w:r>
    </w:p>
  </w:footnote>
  <w:footnote w:type="continuationSeparator" w:id="0">
    <w:p w:rsidR="00A35A27" w:rsidRDefault="00A35A27" w:rsidP="002527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D75902"/>
    <w:multiLevelType w:val="hybridMultilevel"/>
    <w:tmpl w:val="7F1AA6DC"/>
    <w:lvl w:ilvl="0" w:tplc="8EC82DE2">
      <w:start w:val="1"/>
      <w:numFmt w:val="upperRoman"/>
      <w:pStyle w:val="IIIIII"/>
      <w:lvlText w:val="%1."/>
      <w:lvlJc w:val="right"/>
      <w:pPr>
        <w:tabs>
          <w:tab w:val="num" w:pos="397"/>
        </w:tabs>
        <w:ind w:left="397" w:hanging="397"/>
      </w:pPr>
      <w:rPr>
        <w:b/>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6FC3532E"/>
    <w:multiLevelType w:val="hybridMultilevel"/>
    <w:tmpl w:val="340CFD80"/>
    <w:lvl w:ilvl="0" w:tplc="140C000B">
      <w:start w:val="1"/>
      <w:numFmt w:val="bullet"/>
      <w:lvlText w:val=""/>
      <w:lvlJc w:val="left"/>
      <w:pPr>
        <w:ind w:left="720" w:hanging="360"/>
      </w:pPr>
      <w:rPr>
        <w:rFonts w:ascii="Wingdings" w:hAnsi="Wingdings" w:hint="default"/>
      </w:rPr>
    </w:lvl>
    <w:lvl w:ilvl="1" w:tplc="140C0003">
      <w:start w:val="1"/>
      <w:numFmt w:val="bullet"/>
      <w:lvlText w:val="o"/>
      <w:lvlJc w:val="left"/>
      <w:pPr>
        <w:ind w:left="1440" w:hanging="360"/>
      </w:pPr>
      <w:rPr>
        <w:rFonts w:ascii="Courier New" w:hAnsi="Courier New" w:cs="Courier New" w:hint="default"/>
      </w:rPr>
    </w:lvl>
    <w:lvl w:ilvl="2" w:tplc="140C0005">
      <w:start w:val="1"/>
      <w:numFmt w:val="bullet"/>
      <w:lvlText w:val=""/>
      <w:lvlJc w:val="left"/>
      <w:pPr>
        <w:ind w:left="2160" w:hanging="360"/>
      </w:pPr>
      <w:rPr>
        <w:rFonts w:ascii="Wingdings" w:hAnsi="Wingdings" w:hint="default"/>
      </w:rPr>
    </w:lvl>
    <w:lvl w:ilvl="3" w:tplc="140C0001">
      <w:start w:val="1"/>
      <w:numFmt w:val="bullet"/>
      <w:lvlText w:val=""/>
      <w:lvlJc w:val="left"/>
      <w:pPr>
        <w:ind w:left="2880" w:hanging="360"/>
      </w:pPr>
      <w:rPr>
        <w:rFonts w:ascii="Symbol" w:hAnsi="Symbol" w:hint="default"/>
      </w:rPr>
    </w:lvl>
    <w:lvl w:ilvl="4" w:tplc="140C0003">
      <w:start w:val="1"/>
      <w:numFmt w:val="bullet"/>
      <w:lvlText w:val="o"/>
      <w:lvlJc w:val="left"/>
      <w:pPr>
        <w:ind w:left="3600" w:hanging="360"/>
      </w:pPr>
      <w:rPr>
        <w:rFonts w:ascii="Courier New" w:hAnsi="Courier New" w:cs="Courier New" w:hint="default"/>
      </w:rPr>
    </w:lvl>
    <w:lvl w:ilvl="5" w:tplc="140C0005">
      <w:start w:val="1"/>
      <w:numFmt w:val="bullet"/>
      <w:lvlText w:val=""/>
      <w:lvlJc w:val="left"/>
      <w:pPr>
        <w:ind w:left="4320" w:hanging="360"/>
      </w:pPr>
      <w:rPr>
        <w:rFonts w:ascii="Wingdings" w:hAnsi="Wingdings" w:hint="default"/>
      </w:rPr>
    </w:lvl>
    <w:lvl w:ilvl="6" w:tplc="140C0001">
      <w:start w:val="1"/>
      <w:numFmt w:val="bullet"/>
      <w:lvlText w:val=""/>
      <w:lvlJc w:val="left"/>
      <w:pPr>
        <w:ind w:left="5040" w:hanging="360"/>
      </w:pPr>
      <w:rPr>
        <w:rFonts w:ascii="Symbol" w:hAnsi="Symbol" w:hint="default"/>
      </w:rPr>
    </w:lvl>
    <w:lvl w:ilvl="7" w:tplc="140C0003">
      <w:start w:val="1"/>
      <w:numFmt w:val="bullet"/>
      <w:lvlText w:val="o"/>
      <w:lvlJc w:val="left"/>
      <w:pPr>
        <w:ind w:left="5760" w:hanging="360"/>
      </w:pPr>
      <w:rPr>
        <w:rFonts w:ascii="Courier New" w:hAnsi="Courier New" w:cs="Courier New" w:hint="default"/>
      </w:rPr>
    </w:lvl>
    <w:lvl w:ilvl="8" w:tplc="140C0005">
      <w:start w:val="1"/>
      <w:numFmt w:val="bullet"/>
      <w:lvlText w:val=""/>
      <w:lvlJc w:val="left"/>
      <w:pPr>
        <w:ind w:left="6480" w:hanging="360"/>
      </w:pPr>
      <w:rPr>
        <w:rFonts w:ascii="Wingdings" w:hAnsi="Wingdings" w:hint="default"/>
      </w:rPr>
    </w:lvl>
  </w:abstractNum>
  <w:abstractNum w:abstractNumId="2" w15:restartNumberingAfterBreak="0">
    <w:nsid w:val="740E1820"/>
    <w:multiLevelType w:val="hybridMultilevel"/>
    <w:tmpl w:val="543636F4"/>
    <w:lvl w:ilvl="0" w:tplc="140C000B">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0463"/>
    <w:rsid w:val="00021F93"/>
    <w:rsid w:val="000323D1"/>
    <w:rsid w:val="001461F9"/>
    <w:rsid w:val="002527BC"/>
    <w:rsid w:val="00282AFC"/>
    <w:rsid w:val="002851D4"/>
    <w:rsid w:val="002977AE"/>
    <w:rsid w:val="00530359"/>
    <w:rsid w:val="005F37BF"/>
    <w:rsid w:val="00982A24"/>
    <w:rsid w:val="009A3810"/>
    <w:rsid w:val="009F202C"/>
    <w:rsid w:val="00A35A27"/>
    <w:rsid w:val="00E4046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DDD7F24-C42E-4550-B3EA-764E8466F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7BC"/>
    <w:pPr>
      <w:spacing w:after="160" w:line="25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2527BC"/>
    <w:rPr>
      <w:sz w:val="20"/>
      <w:szCs w:val="20"/>
    </w:rPr>
  </w:style>
  <w:style w:type="character" w:customStyle="1" w:styleId="NotedebasdepageCar">
    <w:name w:val="Note de bas de page Car"/>
    <w:link w:val="Notedebasdepage"/>
    <w:semiHidden/>
    <w:rsid w:val="002527BC"/>
    <w:rPr>
      <w:rFonts w:ascii="Calibri" w:eastAsia="Calibri" w:hAnsi="Calibri" w:cs="Times New Roman"/>
      <w:sz w:val="20"/>
      <w:szCs w:val="20"/>
    </w:rPr>
  </w:style>
  <w:style w:type="paragraph" w:customStyle="1" w:styleId="IIIIII">
    <w:name w:val="I II III"/>
    <w:basedOn w:val="Normal"/>
    <w:rsid w:val="002527BC"/>
    <w:pPr>
      <w:numPr>
        <w:numId w:val="1"/>
      </w:numPr>
      <w:spacing w:after="0" w:line="240" w:lineRule="auto"/>
      <w:ind w:left="1430" w:hanging="720"/>
    </w:pPr>
    <w:rPr>
      <w:sz w:val="24"/>
      <w:szCs w:val="24"/>
      <w:lang w:val="en-US"/>
    </w:rPr>
  </w:style>
  <w:style w:type="character" w:styleId="Appelnotedebasdep">
    <w:name w:val="footnote reference"/>
    <w:semiHidden/>
    <w:unhideWhenUsed/>
    <w:rsid w:val="002527BC"/>
    <w:rPr>
      <w:vertAlign w:val="superscript"/>
    </w:rPr>
  </w:style>
  <w:style w:type="paragraph" w:styleId="Paragraphedeliste">
    <w:name w:val="List Paragraph"/>
    <w:basedOn w:val="Normal"/>
    <w:uiPriority w:val="34"/>
    <w:qFormat/>
    <w:rsid w:val="005303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27378">
      <w:bodyDiv w:val="1"/>
      <w:marLeft w:val="0"/>
      <w:marRight w:val="0"/>
      <w:marTop w:val="0"/>
      <w:marBottom w:val="0"/>
      <w:divBdr>
        <w:top w:val="none" w:sz="0" w:space="0" w:color="auto"/>
        <w:left w:val="none" w:sz="0" w:space="0" w:color="auto"/>
        <w:bottom w:val="none" w:sz="0" w:space="0" w:color="auto"/>
        <w:right w:val="none" w:sz="0" w:space="0" w:color="auto"/>
      </w:divBdr>
    </w:div>
    <w:div w:id="998734932">
      <w:bodyDiv w:val="1"/>
      <w:marLeft w:val="0"/>
      <w:marRight w:val="0"/>
      <w:marTop w:val="0"/>
      <w:marBottom w:val="0"/>
      <w:divBdr>
        <w:top w:val="none" w:sz="0" w:space="0" w:color="auto"/>
        <w:left w:val="none" w:sz="0" w:space="0" w:color="auto"/>
        <w:bottom w:val="none" w:sz="0" w:space="0" w:color="auto"/>
        <w:right w:val="none" w:sz="0" w:space="0" w:color="auto"/>
      </w:divBdr>
    </w:div>
    <w:div w:id="1378435096">
      <w:bodyDiv w:val="1"/>
      <w:marLeft w:val="0"/>
      <w:marRight w:val="0"/>
      <w:marTop w:val="0"/>
      <w:marBottom w:val="0"/>
      <w:divBdr>
        <w:top w:val="none" w:sz="0" w:space="0" w:color="auto"/>
        <w:left w:val="none" w:sz="0" w:space="0" w:color="auto"/>
        <w:bottom w:val="none" w:sz="0" w:space="0" w:color="auto"/>
        <w:right w:val="none" w:sz="0" w:space="0" w:color="auto"/>
      </w:divBdr>
    </w:div>
    <w:div w:id="156960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DP7269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7269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/sftpecos/Dossiers_parlementaires/7269/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0DBF56F-6521-4E9D-B1F3-4B58CF6013A4}"/>
</file>

<file path=customXml/itemProps2.xml><?xml version="1.0" encoding="utf-8"?>
<ds:datastoreItem xmlns:ds="http://schemas.openxmlformats.org/officeDocument/2006/customXml" ds:itemID="{D88316F6-8CC0-4F6C-8DDE-3A147C7306AB}"/>
</file>

<file path=customXml/itemProps3.xml><?xml version="1.0" encoding="utf-8"?>
<ds:datastoreItem xmlns:ds="http://schemas.openxmlformats.org/officeDocument/2006/customXml" ds:itemID="{BD7475C5-4A4C-4905-B1E0-9E76D7908687}"/>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3048</Characters>
  <Application>Microsoft Office Word</Application>
  <DocSecurity>4</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Jean-Paul Bever</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