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48" w:rsidRPr="00BD672D" w:rsidRDefault="00BD672D" w:rsidP="00AB31D4">
      <w:pPr>
        <w:spacing w:after="0" w:line="240" w:lineRule="auto"/>
        <w:jc w:val="both"/>
        <w:rPr>
          <w:b/>
          <w:lang w:val="fr-FR"/>
        </w:rPr>
      </w:pPr>
      <w:bookmarkStart w:id="0" w:name="_GoBack"/>
      <w:bookmarkEnd w:id="0"/>
      <w:r w:rsidRPr="00BD672D">
        <w:rPr>
          <w:rFonts w:ascii="Arial" w:hAnsi="Arial" w:cs="Arial"/>
          <w:b/>
        </w:rPr>
        <w:t>Projet de loi</w:t>
      </w:r>
      <w:r w:rsidR="00A770F8">
        <w:rPr>
          <w:rFonts w:ascii="Arial" w:hAnsi="Arial" w:cs="Arial"/>
          <w:b/>
        </w:rPr>
        <w:t xml:space="preserve"> 7249</w:t>
      </w:r>
      <w:r w:rsidRPr="00BD672D">
        <w:rPr>
          <w:rFonts w:ascii="Arial" w:hAnsi="Arial" w:cs="Arial"/>
          <w:b/>
        </w:rPr>
        <w:t xml:space="preserve"> modifiant la loi modifiée du 12 février 1979 concernant la taxe sur la valeur ajoutée aux fins de transposer l'article 1</w:t>
      </w:r>
      <w:r w:rsidRPr="00BD672D">
        <w:rPr>
          <w:rFonts w:ascii="Arial" w:hAnsi="Arial" w:cs="Arial"/>
          <w:b/>
          <w:vertAlign w:val="superscript"/>
        </w:rPr>
        <w:t>er</w:t>
      </w:r>
      <w:r w:rsidRPr="00BD672D">
        <w:rPr>
          <w:rFonts w:ascii="Arial" w:hAnsi="Arial" w:cs="Arial"/>
          <w:b/>
        </w:rPr>
        <w:t xml:space="preserve"> de la directive (UE) 2017/2455 du Conseil du 5 décembre 2017 modifiant la directive 2006/112/CE et la directive 2009/132/CE en ce qui concerne certaines obligations en matière de taxe sur la valeur ajoutée applicables aux prestations de services et aux ventes à distance de biens</w:t>
      </w:r>
    </w:p>
    <w:p w:rsidR="0002273C" w:rsidRDefault="0002273C" w:rsidP="00A770F8">
      <w:pPr>
        <w:pStyle w:val="Default"/>
        <w:rPr>
          <w:rFonts w:ascii="Arial" w:eastAsia="Arial" w:hAnsi="Arial" w:cs="Arial"/>
          <w:b/>
          <w:sz w:val="22"/>
          <w:szCs w:val="22"/>
        </w:rPr>
      </w:pP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r w:rsidRPr="004F781D">
        <w:rPr>
          <w:rFonts w:ascii="Arial" w:eastAsia="Calibri" w:hAnsi="Arial" w:cs="Arial"/>
          <w:b w:val="0"/>
          <w:bCs w:val="0"/>
          <w:sz w:val="22"/>
          <w:szCs w:val="22"/>
          <w:lang w:val="fr-CH" w:eastAsia="en-US"/>
        </w:rPr>
        <w:t>Le projet de loi sous rubrique a pour objet de transposer en droit luxembourgeois l’article 1</w:t>
      </w:r>
      <w:r w:rsidRPr="004F781D">
        <w:rPr>
          <w:rFonts w:ascii="Arial" w:eastAsia="Calibri" w:hAnsi="Arial" w:cs="Arial"/>
          <w:b w:val="0"/>
          <w:bCs w:val="0"/>
          <w:sz w:val="22"/>
          <w:szCs w:val="22"/>
          <w:vertAlign w:val="superscript"/>
          <w:lang w:val="fr-CH" w:eastAsia="en-US"/>
        </w:rPr>
        <w:t>er</w:t>
      </w:r>
      <w:r w:rsidRPr="004F781D">
        <w:rPr>
          <w:rFonts w:ascii="Arial" w:eastAsia="Calibri" w:hAnsi="Arial" w:cs="Arial"/>
          <w:b w:val="0"/>
          <w:bCs w:val="0"/>
          <w:sz w:val="22"/>
          <w:szCs w:val="22"/>
          <w:lang w:val="fr-CH" w:eastAsia="en-US"/>
        </w:rPr>
        <w:t xml:space="preserve"> de la directive (UE) 2017/2455 du Conseil du 5 décembre 2017.</w:t>
      </w: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r w:rsidRPr="004F781D">
        <w:rPr>
          <w:rFonts w:ascii="Arial" w:eastAsia="Calibri" w:hAnsi="Arial" w:cs="Arial"/>
          <w:b w:val="0"/>
          <w:bCs w:val="0"/>
          <w:sz w:val="22"/>
          <w:szCs w:val="22"/>
          <w:lang w:val="fr-CH" w:eastAsia="en-US"/>
        </w:rPr>
        <w:t xml:space="preserve">La directive 2017/2455 s’inscrit dans la stratégie de la Commission européenne de réaliser une intégration accrue du marché unique. En adaptant le régime de la taxe sur la valeur ajoutée, la directive vise à approfondir la libre circulation de biens et de services ainsi qu’à renforcer la concurrence loyale intracommunautaire, de même qu’à l’égard d’entreprises ressortissant de pays tiers. </w:t>
      </w: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r w:rsidRPr="004F781D">
        <w:rPr>
          <w:rFonts w:ascii="Arial" w:eastAsia="Calibri" w:hAnsi="Arial" w:cs="Arial"/>
          <w:b w:val="0"/>
          <w:bCs w:val="0"/>
          <w:sz w:val="22"/>
          <w:szCs w:val="22"/>
          <w:lang w:val="fr-CH" w:eastAsia="en-US"/>
        </w:rPr>
        <w:t>En 2008</w:t>
      </w:r>
      <w:r>
        <w:rPr>
          <w:rFonts w:ascii="Arial" w:eastAsia="Calibri" w:hAnsi="Arial" w:cs="Arial"/>
          <w:b w:val="0"/>
          <w:bCs w:val="0"/>
          <w:sz w:val="22"/>
          <w:szCs w:val="22"/>
          <w:lang w:val="fr-CH" w:eastAsia="en-US"/>
        </w:rPr>
        <w:t>,</w:t>
      </w:r>
      <w:r w:rsidRPr="004F781D">
        <w:rPr>
          <w:rFonts w:ascii="Arial" w:eastAsia="Calibri" w:hAnsi="Arial" w:cs="Arial"/>
          <w:b w:val="0"/>
          <w:bCs w:val="0"/>
          <w:sz w:val="22"/>
          <w:szCs w:val="22"/>
          <w:lang w:val="fr-CH" w:eastAsia="en-US"/>
        </w:rPr>
        <w:t xml:space="preserve"> l</w:t>
      </w:r>
      <w:r w:rsidR="00A21CC5">
        <w:rPr>
          <w:rFonts w:ascii="Arial" w:eastAsia="Calibri" w:hAnsi="Arial" w:cs="Arial"/>
          <w:b w:val="0"/>
          <w:bCs w:val="0"/>
          <w:sz w:val="22"/>
          <w:szCs w:val="22"/>
          <w:lang w:val="fr-CH" w:eastAsia="en-US"/>
        </w:rPr>
        <w:t>e Conseil</w:t>
      </w:r>
      <w:r w:rsidRPr="004F781D">
        <w:rPr>
          <w:rFonts w:ascii="Arial" w:eastAsia="Calibri" w:hAnsi="Arial" w:cs="Arial"/>
          <w:b w:val="0"/>
          <w:bCs w:val="0"/>
          <w:sz w:val="22"/>
          <w:szCs w:val="22"/>
          <w:lang w:val="fr-CH" w:eastAsia="en-US"/>
        </w:rPr>
        <w:t xml:space="preserve"> avait adopté le « paquet TVA », </w:t>
      </w:r>
      <w:r w:rsidR="00A21CC5">
        <w:rPr>
          <w:rFonts w:ascii="Arial" w:eastAsia="Calibri" w:hAnsi="Arial" w:cs="Arial"/>
          <w:b w:val="0"/>
          <w:bCs w:val="0"/>
          <w:sz w:val="22"/>
          <w:szCs w:val="22"/>
          <w:lang w:val="fr-CH" w:eastAsia="en-US"/>
        </w:rPr>
        <w:t xml:space="preserve">que la Commission avait proposé en vue de modifier le lieu de certaines prestations de services, entre autres des prestations de services de télécommunication, de radiodiffusion et de télévision et des services électroniques (services </w:t>
      </w:r>
      <w:r w:rsidR="000A638A">
        <w:rPr>
          <w:rFonts w:ascii="Arial" w:eastAsia="Calibri" w:hAnsi="Arial" w:cs="Arial"/>
          <w:b w:val="0"/>
          <w:bCs w:val="0"/>
          <w:sz w:val="22"/>
          <w:szCs w:val="22"/>
          <w:lang w:val="fr-CH" w:eastAsia="en-US"/>
        </w:rPr>
        <w:t>« </w:t>
      </w:r>
      <w:r w:rsidR="00A21CC5">
        <w:rPr>
          <w:rFonts w:ascii="Arial" w:eastAsia="Calibri" w:hAnsi="Arial" w:cs="Arial"/>
          <w:b w:val="0"/>
          <w:bCs w:val="0"/>
          <w:sz w:val="22"/>
          <w:szCs w:val="22"/>
          <w:lang w:val="fr-CH" w:eastAsia="en-US"/>
        </w:rPr>
        <w:t>TBE</w:t>
      </w:r>
      <w:r w:rsidR="000A638A">
        <w:rPr>
          <w:rFonts w:ascii="Arial" w:eastAsia="Calibri" w:hAnsi="Arial" w:cs="Arial"/>
          <w:b w:val="0"/>
          <w:bCs w:val="0"/>
          <w:sz w:val="22"/>
          <w:szCs w:val="22"/>
          <w:lang w:val="fr-CH" w:eastAsia="en-US"/>
        </w:rPr>
        <w:t> »</w:t>
      </w:r>
      <w:r w:rsidR="00A21CC5">
        <w:rPr>
          <w:rFonts w:ascii="Arial" w:eastAsia="Calibri" w:hAnsi="Arial" w:cs="Arial"/>
          <w:b w:val="0"/>
          <w:bCs w:val="0"/>
          <w:sz w:val="22"/>
          <w:szCs w:val="22"/>
          <w:lang w:val="fr-CH" w:eastAsia="en-US"/>
        </w:rPr>
        <w:t xml:space="preserve">), </w:t>
      </w:r>
      <w:r w:rsidRPr="004F781D">
        <w:rPr>
          <w:rFonts w:ascii="Arial" w:eastAsia="Calibri" w:hAnsi="Arial" w:cs="Arial"/>
          <w:b w:val="0"/>
          <w:bCs w:val="0"/>
          <w:sz w:val="22"/>
          <w:szCs w:val="22"/>
          <w:lang w:val="fr-CH" w:eastAsia="en-US"/>
        </w:rPr>
        <w:t>en réaction à l</w:t>
      </w:r>
      <w:r w:rsidR="00A21CC5">
        <w:rPr>
          <w:rFonts w:ascii="Arial" w:eastAsia="Calibri" w:hAnsi="Arial" w:cs="Arial"/>
          <w:b w:val="0"/>
          <w:bCs w:val="0"/>
          <w:sz w:val="22"/>
          <w:szCs w:val="22"/>
          <w:lang w:val="fr-CH" w:eastAsia="en-US"/>
        </w:rPr>
        <w:t xml:space="preserve">’expansion très rapide du marché de </w:t>
      </w:r>
      <w:r w:rsidRPr="004F781D">
        <w:rPr>
          <w:rFonts w:ascii="Arial" w:eastAsia="Calibri" w:hAnsi="Arial" w:cs="Arial"/>
          <w:b w:val="0"/>
          <w:bCs w:val="0"/>
          <w:sz w:val="22"/>
          <w:szCs w:val="22"/>
          <w:lang w:val="fr-CH" w:eastAsia="en-US"/>
        </w:rPr>
        <w:t>prestation</w:t>
      </w:r>
      <w:r w:rsidR="00A21CC5">
        <w:rPr>
          <w:rFonts w:ascii="Arial" w:eastAsia="Calibri" w:hAnsi="Arial" w:cs="Arial"/>
          <w:b w:val="0"/>
          <w:bCs w:val="0"/>
          <w:sz w:val="22"/>
          <w:szCs w:val="22"/>
          <w:lang w:val="fr-CH" w:eastAsia="en-US"/>
        </w:rPr>
        <w:t>s</w:t>
      </w:r>
      <w:r w:rsidRPr="004F781D">
        <w:rPr>
          <w:rFonts w:ascii="Arial" w:eastAsia="Calibri" w:hAnsi="Arial" w:cs="Arial"/>
          <w:b w:val="0"/>
          <w:bCs w:val="0"/>
          <w:sz w:val="22"/>
          <w:szCs w:val="22"/>
          <w:lang w:val="fr-CH" w:eastAsia="en-US"/>
        </w:rPr>
        <w:t xml:space="preserve"> de services </w:t>
      </w:r>
      <w:r w:rsidR="00A21CC5">
        <w:rPr>
          <w:rFonts w:ascii="Arial" w:eastAsia="Calibri" w:hAnsi="Arial" w:cs="Arial"/>
          <w:b w:val="0"/>
          <w:bCs w:val="0"/>
          <w:sz w:val="22"/>
          <w:szCs w:val="22"/>
          <w:lang w:val="fr-CH" w:eastAsia="en-US"/>
        </w:rPr>
        <w:t xml:space="preserve">fournies </w:t>
      </w:r>
      <w:r w:rsidRPr="004F781D">
        <w:rPr>
          <w:rFonts w:ascii="Arial" w:eastAsia="Calibri" w:hAnsi="Arial" w:cs="Arial"/>
          <w:b w:val="0"/>
          <w:bCs w:val="0"/>
          <w:sz w:val="22"/>
          <w:szCs w:val="22"/>
          <w:lang w:val="fr-CH" w:eastAsia="en-US"/>
        </w:rPr>
        <w:t xml:space="preserve">par </w:t>
      </w:r>
      <w:r w:rsidR="00A21CC5">
        <w:rPr>
          <w:rFonts w:ascii="Arial" w:eastAsia="Calibri" w:hAnsi="Arial" w:cs="Arial"/>
          <w:b w:val="0"/>
          <w:bCs w:val="0"/>
          <w:sz w:val="22"/>
          <w:szCs w:val="22"/>
          <w:lang w:val="fr-CH" w:eastAsia="en-US"/>
        </w:rPr>
        <w:t xml:space="preserve">voie </w:t>
      </w:r>
      <w:r w:rsidRPr="004F781D">
        <w:rPr>
          <w:rFonts w:ascii="Arial" w:eastAsia="Calibri" w:hAnsi="Arial" w:cs="Arial"/>
          <w:b w:val="0"/>
          <w:bCs w:val="0"/>
          <w:sz w:val="22"/>
          <w:szCs w:val="22"/>
          <w:lang w:val="fr-CH" w:eastAsia="en-US"/>
        </w:rPr>
        <w:t>électronique</w:t>
      </w:r>
      <w:r w:rsidR="00A21CC5">
        <w:rPr>
          <w:rFonts w:ascii="Arial" w:eastAsia="Calibri" w:hAnsi="Arial" w:cs="Arial"/>
          <w:b w:val="0"/>
          <w:bCs w:val="0"/>
          <w:sz w:val="22"/>
          <w:szCs w:val="22"/>
          <w:lang w:val="fr-CH" w:eastAsia="en-US"/>
        </w:rPr>
        <w:t xml:space="preserve"> à des consommateurs finaux n’ayant pas leur résidence dans l’État membre du prestataire</w:t>
      </w:r>
      <w:r w:rsidRPr="004F781D">
        <w:rPr>
          <w:rFonts w:ascii="Arial" w:eastAsia="Calibri" w:hAnsi="Arial" w:cs="Arial"/>
          <w:b w:val="0"/>
          <w:bCs w:val="0"/>
          <w:sz w:val="22"/>
          <w:szCs w:val="22"/>
          <w:lang w:val="fr-CH" w:eastAsia="en-US"/>
        </w:rPr>
        <w:t xml:space="preserve">. L’approche traditionnelle de prélèvement de la taxe au lieu d’établissement du prestataire a ainsi été remplacée par le principe de taxation au lieu de consommation. </w:t>
      </w:r>
      <w:r w:rsidR="00A21CC5">
        <w:rPr>
          <w:rFonts w:ascii="Arial" w:eastAsia="Calibri" w:hAnsi="Arial" w:cs="Arial"/>
          <w:b w:val="0"/>
          <w:bCs w:val="0"/>
          <w:sz w:val="22"/>
          <w:szCs w:val="22"/>
          <w:lang w:val="fr-CH" w:eastAsia="en-US"/>
        </w:rPr>
        <w:t>La modification du lieu d’imposition des services « TBE »</w:t>
      </w:r>
      <w:r w:rsidRPr="004F781D">
        <w:rPr>
          <w:rFonts w:ascii="Arial" w:eastAsia="Calibri" w:hAnsi="Arial" w:cs="Arial"/>
          <w:b w:val="0"/>
          <w:bCs w:val="0"/>
          <w:sz w:val="22"/>
          <w:szCs w:val="22"/>
          <w:lang w:val="fr-CH" w:eastAsia="en-US"/>
        </w:rPr>
        <w:t xml:space="preserve"> est entrée en vigueur </w:t>
      </w:r>
      <w:r w:rsidR="007255F0">
        <w:rPr>
          <w:rFonts w:ascii="Arial" w:eastAsia="Calibri" w:hAnsi="Arial" w:cs="Arial"/>
          <w:b w:val="0"/>
          <w:bCs w:val="0"/>
          <w:sz w:val="22"/>
          <w:szCs w:val="22"/>
          <w:lang w:val="fr-CH" w:eastAsia="en-US"/>
        </w:rPr>
        <w:t>au 1</w:t>
      </w:r>
      <w:r w:rsidR="007255F0" w:rsidRPr="001120F5">
        <w:rPr>
          <w:rFonts w:ascii="Arial" w:eastAsia="Calibri" w:hAnsi="Arial" w:cs="Arial"/>
          <w:b w:val="0"/>
          <w:bCs w:val="0"/>
          <w:sz w:val="22"/>
          <w:szCs w:val="22"/>
          <w:vertAlign w:val="superscript"/>
          <w:lang w:val="fr-CH" w:eastAsia="en-US"/>
        </w:rPr>
        <w:t>er</w:t>
      </w:r>
      <w:r w:rsidR="007255F0">
        <w:rPr>
          <w:rFonts w:ascii="Arial" w:eastAsia="Calibri" w:hAnsi="Arial" w:cs="Arial"/>
          <w:b w:val="0"/>
          <w:bCs w:val="0"/>
          <w:sz w:val="22"/>
          <w:szCs w:val="22"/>
          <w:lang w:val="fr-CH" w:eastAsia="en-US"/>
        </w:rPr>
        <w:t xml:space="preserve"> janvier</w:t>
      </w:r>
      <w:r w:rsidRPr="004F781D">
        <w:rPr>
          <w:rFonts w:ascii="Arial" w:eastAsia="Calibri" w:hAnsi="Arial" w:cs="Arial"/>
          <w:b w:val="0"/>
          <w:bCs w:val="0"/>
          <w:sz w:val="22"/>
          <w:szCs w:val="22"/>
          <w:lang w:val="fr-CH" w:eastAsia="en-US"/>
        </w:rPr>
        <w:t xml:space="preserve"> 2015 pour les entreprises qui prestent des services à des personnes non</w:t>
      </w:r>
      <w:r w:rsidR="007255F0">
        <w:rPr>
          <w:rFonts w:ascii="Arial" w:eastAsia="Calibri" w:hAnsi="Arial" w:cs="Arial"/>
          <w:b w:val="0"/>
          <w:bCs w:val="0"/>
          <w:sz w:val="22"/>
          <w:szCs w:val="22"/>
          <w:lang w:val="fr-CH" w:eastAsia="en-US"/>
        </w:rPr>
        <w:t xml:space="preserve"> </w:t>
      </w:r>
      <w:r w:rsidRPr="004F781D">
        <w:rPr>
          <w:rFonts w:ascii="Arial" w:eastAsia="Calibri" w:hAnsi="Arial" w:cs="Arial"/>
          <w:b w:val="0"/>
          <w:bCs w:val="0"/>
          <w:sz w:val="22"/>
          <w:szCs w:val="22"/>
          <w:lang w:val="fr-CH" w:eastAsia="en-US"/>
        </w:rPr>
        <w:t xml:space="preserve">assujetties </w:t>
      </w:r>
      <w:r w:rsidR="007255F0">
        <w:rPr>
          <w:rFonts w:ascii="Arial" w:eastAsia="Calibri" w:hAnsi="Arial" w:cs="Arial"/>
          <w:b w:val="0"/>
          <w:bCs w:val="0"/>
          <w:sz w:val="22"/>
          <w:szCs w:val="22"/>
          <w:lang w:val="fr-CH" w:eastAsia="en-US"/>
        </w:rPr>
        <w:t xml:space="preserve">ayant leur résidence </w:t>
      </w:r>
      <w:r w:rsidRPr="004F781D">
        <w:rPr>
          <w:rFonts w:ascii="Arial" w:eastAsia="Calibri" w:hAnsi="Arial" w:cs="Arial"/>
          <w:b w:val="0"/>
          <w:bCs w:val="0"/>
          <w:sz w:val="22"/>
          <w:szCs w:val="22"/>
          <w:lang w:val="fr-CH" w:eastAsia="en-US"/>
        </w:rPr>
        <w:t>dans un Etat membre de l’Union européenne que celui de l</w:t>
      </w:r>
      <w:r w:rsidR="007255F0">
        <w:rPr>
          <w:rFonts w:ascii="Arial" w:eastAsia="Calibri" w:hAnsi="Arial" w:cs="Arial"/>
          <w:b w:val="0"/>
          <w:bCs w:val="0"/>
          <w:sz w:val="22"/>
          <w:szCs w:val="22"/>
          <w:lang w:val="fr-CH" w:eastAsia="en-US"/>
        </w:rPr>
        <w:t>’</w:t>
      </w:r>
      <w:r w:rsidRPr="004F781D">
        <w:rPr>
          <w:rFonts w:ascii="Arial" w:eastAsia="Calibri" w:hAnsi="Arial" w:cs="Arial"/>
          <w:b w:val="0"/>
          <w:bCs w:val="0"/>
          <w:sz w:val="22"/>
          <w:szCs w:val="22"/>
          <w:lang w:val="fr-CH" w:eastAsia="en-US"/>
        </w:rPr>
        <w:t>établissement</w:t>
      </w:r>
      <w:r w:rsidR="007255F0">
        <w:rPr>
          <w:rFonts w:ascii="Arial" w:eastAsia="Calibri" w:hAnsi="Arial" w:cs="Arial"/>
          <w:b w:val="0"/>
          <w:bCs w:val="0"/>
          <w:sz w:val="22"/>
          <w:szCs w:val="22"/>
          <w:lang w:val="fr-CH" w:eastAsia="en-US"/>
        </w:rPr>
        <w:t xml:space="preserve"> du prestataire</w:t>
      </w:r>
      <w:r w:rsidRPr="004F781D">
        <w:rPr>
          <w:rFonts w:ascii="Arial" w:eastAsia="Calibri" w:hAnsi="Arial" w:cs="Arial"/>
          <w:b w:val="0"/>
          <w:bCs w:val="0"/>
          <w:sz w:val="22"/>
          <w:szCs w:val="22"/>
          <w:lang w:val="fr-CH" w:eastAsia="en-US"/>
        </w:rPr>
        <w:t>.</w:t>
      </w: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r w:rsidRPr="004F781D">
        <w:rPr>
          <w:rFonts w:ascii="Arial" w:eastAsia="Calibri" w:hAnsi="Arial" w:cs="Arial"/>
          <w:b w:val="0"/>
          <w:bCs w:val="0"/>
          <w:sz w:val="22"/>
          <w:szCs w:val="22"/>
          <w:lang w:val="fr-CH" w:eastAsia="en-US"/>
        </w:rPr>
        <w:t>Afin de simplifier la charge administrative de</w:t>
      </w:r>
      <w:r w:rsidR="007255F0">
        <w:rPr>
          <w:rFonts w:ascii="Arial" w:eastAsia="Calibri" w:hAnsi="Arial" w:cs="Arial"/>
          <w:b w:val="0"/>
          <w:bCs w:val="0"/>
          <w:sz w:val="22"/>
          <w:szCs w:val="22"/>
          <w:lang w:val="fr-CH" w:eastAsia="en-US"/>
        </w:rPr>
        <w:t xml:space="preserve"> ces</w:t>
      </w:r>
      <w:r w:rsidRPr="004F781D">
        <w:rPr>
          <w:rFonts w:ascii="Arial" w:eastAsia="Calibri" w:hAnsi="Arial" w:cs="Arial"/>
          <w:b w:val="0"/>
          <w:bCs w:val="0"/>
          <w:sz w:val="22"/>
          <w:szCs w:val="22"/>
          <w:lang w:val="fr-CH" w:eastAsia="en-US"/>
        </w:rPr>
        <w:t xml:space="preserve"> entreprises, un « mini-guichet unique » a été créé, qui permet aux entreprises de </w:t>
      </w:r>
      <w:r w:rsidR="007255F0">
        <w:rPr>
          <w:rFonts w:ascii="Arial" w:eastAsia="Calibri" w:hAnsi="Arial" w:cs="Arial"/>
          <w:b w:val="0"/>
          <w:bCs w:val="0"/>
          <w:sz w:val="22"/>
          <w:szCs w:val="22"/>
          <w:lang w:val="fr-CH" w:eastAsia="en-US"/>
        </w:rPr>
        <w:t xml:space="preserve">déclarer et de </w:t>
      </w:r>
      <w:r w:rsidRPr="004F781D">
        <w:rPr>
          <w:rFonts w:ascii="Arial" w:eastAsia="Calibri" w:hAnsi="Arial" w:cs="Arial"/>
          <w:b w:val="0"/>
          <w:bCs w:val="0"/>
          <w:sz w:val="22"/>
          <w:szCs w:val="22"/>
          <w:lang w:val="fr-CH" w:eastAsia="en-US"/>
        </w:rPr>
        <w:t>remettre la TVA, collectée auprès de tous leurs consommateurs, à l’administration d’un seul Etat membre</w:t>
      </w:r>
      <w:r w:rsidR="007255F0">
        <w:rPr>
          <w:rFonts w:ascii="Arial" w:eastAsia="Calibri" w:hAnsi="Arial" w:cs="Arial"/>
          <w:b w:val="0"/>
          <w:bCs w:val="0"/>
          <w:sz w:val="22"/>
          <w:szCs w:val="22"/>
          <w:lang w:val="fr-CH" w:eastAsia="en-US"/>
        </w:rPr>
        <w:t>, celui dans lequel ils sont établis.</w:t>
      </w: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r w:rsidRPr="004F781D">
        <w:rPr>
          <w:rFonts w:ascii="Arial" w:eastAsia="Calibri" w:hAnsi="Arial" w:cs="Arial"/>
          <w:b w:val="0"/>
          <w:bCs w:val="0"/>
          <w:sz w:val="22"/>
          <w:szCs w:val="22"/>
          <w:lang w:val="fr-CH" w:eastAsia="en-US"/>
        </w:rPr>
        <w:t xml:space="preserve">Depuis, il s’est avéré nécessaire d’apporter certaines modifications aux dispositions concernant notamment les services de télévision, radiodiffusion et les services fournis par voie électronique, </w:t>
      </w:r>
      <w:r w:rsidR="007255F0">
        <w:rPr>
          <w:rFonts w:ascii="Arial" w:eastAsia="Calibri" w:hAnsi="Arial" w:cs="Arial"/>
          <w:b w:val="0"/>
          <w:bCs w:val="0"/>
          <w:sz w:val="22"/>
          <w:szCs w:val="22"/>
          <w:lang w:val="fr-CH" w:eastAsia="en-US"/>
        </w:rPr>
        <w:t xml:space="preserve">et d’étendre le principe de la taxation de l’Etat membre de destination aux biens achetés à distance, généralement par le biais d’un site internet, par des personnes non assujetties ayant leur résidence dans un Etat membre autre que le pays de </w:t>
      </w:r>
      <w:r w:rsidR="001839DE">
        <w:rPr>
          <w:rFonts w:ascii="Arial" w:eastAsia="Calibri" w:hAnsi="Arial" w:cs="Arial"/>
          <w:b w:val="0"/>
          <w:bCs w:val="0"/>
          <w:sz w:val="22"/>
          <w:szCs w:val="22"/>
          <w:lang w:val="fr-CH" w:eastAsia="en-US"/>
        </w:rPr>
        <w:t>départ du transport des biens, lorsque le transport des biens est effectué par le fournisseur des biens ou un tiers pour son compte (</w:t>
      </w:r>
      <w:r w:rsidRPr="004F781D">
        <w:rPr>
          <w:rFonts w:ascii="Arial" w:eastAsia="Calibri" w:hAnsi="Arial" w:cs="Arial"/>
          <w:b w:val="0"/>
          <w:bCs w:val="0"/>
          <w:sz w:val="22"/>
          <w:szCs w:val="22"/>
          <w:lang w:val="fr-CH" w:eastAsia="en-US"/>
        </w:rPr>
        <w:t>ventes de biens à distance</w:t>
      </w:r>
      <w:r w:rsidR="001839DE">
        <w:rPr>
          <w:rFonts w:ascii="Arial" w:eastAsia="Calibri" w:hAnsi="Arial" w:cs="Arial"/>
          <w:b w:val="0"/>
          <w:bCs w:val="0"/>
          <w:sz w:val="22"/>
          <w:szCs w:val="22"/>
          <w:lang w:val="fr-CH" w:eastAsia="en-US"/>
        </w:rPr>
        <w:t>)</w:t>
      </w:r>
      <w:r w:rsidRPr="004F781D">
        <w:rPr>
          <w:rFonts w:ascii="Arial" w:eastAsia="Calibri" w:hAnsi="Arial" w:cs="Arial"/>
          <w:b w:val="0"/>
          <w:bCs w:val="0"/>
          <w:sz w:val="22"/>
          <w:szCs w:val="22"/>
          <w:lang w:val="fr-CH" w:eastAsia="en-US"/>
        </w:rPr>
        <w:t xml:space="preserve">. La directive procède par </w:t>
      </w:r>
      <w:r w:rsidRPr="00A770F8">
        <w:rPr>
          <w:rFonts w:ascii="Arial" w:eastAsia="Calibri" w:hAnsi="Arial" w:cs="Arial"/>
          <w:b w:val="0"/>
          <w:bCs w:val="0"/>
          <w:sz w:val="22"/>
          <w:szCs w:val="22"/>
          <w:u w:val="single"/>
          <w:lang w:val="fr-CH" w:eastAsia="en-US"/>
        </w:rPr>
        <w:t>deux étapes</w:t>
      </w:r>
      <w:r w:rsidRPr="00A770F8">
        <w:rPr>
          <w:rFonts w:ascii="Arial" w:eastAsia="Calibri" w:hAnsi="Arial" w:cs="Arial"/>
          <w:b w:val="0"/>
          <w:bCs w:val="0"/>
          <w:sz w:val="22"/>
          <w:szCs w:val="22"/>
          <w:lang w:val="fr-CH" w:eastAsia="en-US"/>
        </w:rPr>
        <w:t xml:space="preserve">. </w:t>
      </w:r>
      <w:r w:rsidRPr="004F781D">
        <w:rPr>
          <w:rFonts w:ascii="Arial" w:eastAsia="Calibri" w:hAnsi="Arial" w:cs="Arial"/>
          <w:b w:val="0"/>
          <w:bCs w:val="0"/>
          <w:sz w:val="22"/>
          <w:szCs w:val="22"/>
          <w:lang w:val="fr-CH" w:eastAsia="en-US"/>
        </w:rPr>
        <w:t xml:space="preserve">Ainsi les dispositions relatives à la </w:t>
      </w:r>
      <w:r w:rsidRPr="00A770F8">
        <w:rPr>
          <w:rFonts w:ascii="Arial" w:eastAsia="Calibri" w:hAnsi="Arial" w:cs="Arial"/>
          <w:b w:val="0"/>
          <w:bCs w:val="0"/>
          <w:sz w:val="22"/>
          <w:szCs w:val="22"/>
          <w:u w:val="single"/>
          <w:lang w:val="fr-CH" w:eastAsia="en-US"/>
        </w:rPr>
        <w:t>détermination du lieu d’imposition des trois types de services précités, de même que les modifications des modalités de facturation de ceux-ci</w:t>
      </w:r>
      <w:r w:rsidR="001839DE" w:rsidRPr="00A770F8">
        <w:rPr>
          <w:rFonts w:ascii="Arial" w:eastAsia="Calibri" w:hAnsi="Arial" w:cs="Arial"/>
          <w:b w:val="0"/>
          <w:bCs w:val="0"/>
          <w:sz w:val="22"/>
          <w:szCs w:val="22"/>
          <w:u w:val="single"/>
          <w:lang w:val="fr-CH" w:eastAsia="en-US"/>
        </w:rPr>
        <w:t xml:space="preserve"> lorsque le prestataire utilise le « mini-guichet unique »</w:t>
      </w:r>
      <w:r w:rsidRPr="00A770F8">
        <w:rPr>
          <w:rFonts w:ascii="Arial" w:eastAsia="Calibri" w:hAnsi="Arial" w:cs="Arial"/>
          <w:b w:val="0"/>
          <w:bCs w:val="0"/>
          <w:sz w:val="22"/>
          <w:szCs w:val="22"/>
          <w:u w:val="single"/>
          <w:lang w:val="fr-CH" w:eastAsia="en-US"/>
        </w:rPr>
        <w:t>, entreront en vigueur au 1</w:t>
      </w:r>
      <w:r w:rsidRPr="00A770F8">
        <w:rPr>
          <w:rFonts w:ascii="Arial" w:eastAsia="Calibri" w:hAnsi="Arial" w:cs="Arial"/>
          <w:b w:val="0"/>
          <w:bCs w:val="0"/>
          <w:sz w:val="22"/>
          <w:szCs w:val="22"/>
          <w:u w:val="single"/>
          <w:vertAlign w:val="superscript"/>
          <w:lang w:val="fr-CH" w:eastAsia="en-US"/>
        </w:rPr>
        <w:t>er</w:t>
      </w:r>
      <w:r w:rsidRPr="00A770F8">
        <w:rPr>
          <w:rFonts w:ascii="Arial" w:eastAsia="Calibri" w:hAnsi="Arial" w:cs="Arial"/>
          <w:b w:val="0"/>
          <w:bCs w:val="0"/>
          <w:sz w:val="22"/>
          <w:szCs w:val="22"/>
          <w:u w:val="single"/>
          <w:lang w:val="fr-CH" w:eastAsia="en-US"/>
        </w:rPr>
        <w:t xml:space="preserve"> janvier 2019</w:t>
      </w:r>
      <w:r w:rsidRPr="004F781D">
        <w:rPr>
          <w:rFonts w:ascii="Arial" w:eastAsia="Calibri" w:hAnsi="Arial" w:cs="Arial"/>
          <w:b w:val="0"/>
          <w:bCs w:val="0"/>
          <w:sz w:val="22"/>
          <w:szCs w:val="22"/>
          <w:lang w:val="fr-CH" w:eastAsia="en-US"/>
        </w:rPr>
        <w:t xml:space="preserve">. L’entrée en force des modifications relatives aux </w:t>
      </w:r>
      <w:r w:rsidRPr="00A770F8">
        <w:rPr>
          <w:rFonts w:ascii="Arial" w:eastAsia="Calibri" w:hAnsi="Arial" w:cs="Arial"/>
          <w:b w:val="0"/>
          <w:bCs w:val="0"/>
          <w:sz w:val="22"/>
          <w:szCs w:val="22"/>
          <w:u w:val="single"/>
          <w:lang w:val="fr-CH" w:eastAsia="en-US"/>
        </w:rPr>
        <w:t xml:space="preserve">règles applicables </w:t>
      </w:r>
      <w:r w:rsidR="001839DE" w:rsidRPr="00A770F8">
        <w:rPr>
          <w:rFonts w:ascii="Arial" w:eastAsia="Calibri" w:hAnsi="Arial" w:cs="Arial"/>
          <w:b w:val="0"/>
          <w:bCs w:val="0"/>
          <w:sz w:val="22"/>
          <w:szCs w:val="22"/>
          <w:u w:val="single"/>
          <w:lang w:val="fr-CH" w:eastAsia="en-US"/>
        </w:rPr>
        <w:t>aux ventes de biens à distance</w:t>
      </w:r>
      <w:r w:rsidRPr="004F781D">
        <w:rPr>
          <w:rFonts w:ascii="Arial" w:eastAsia="Calibri" w:hAnsi="Arial" w:cs="Arial"/>
          <w:b w:val="0"/>
          <w:bCs w:val="0"/>
          <w:sz w:val="22"/>
          <w:szCs w:val="22"/>
          <w:lang w:val="fr-CH" w:eastAsia="en-US"/>
        </w:rPr>
        <w:t xml:space="preserve"> est prévue pour le </w:t>
      </w:r>
      <w:r w:rsidRPr="00A770F8">
        <w:rPr>
          <w:rFonts w:ascii="Arial" w:eastAsia="Calibri" w:hAnsi="Arial" w:cs="Arial"/>
          <w:b w:val="0"/>
          <w:bCs w:val="0"/>
          <w:sz w:val="22"/>
          <w:szCs w:val="22"/>
          <w:u w:val="single"/>
          <w:lang w:val="fr-CH" w:eastAsia="en-US"/>
        </w:rPr>
        <w:t>1</w:t>
      </w:r>
      <w:r w:rsidRPr="00A770F8">
        <w:rPr>
          <w:rFonts w:ascii="Arial" w:eastAsia="Calibri" w:hAnsi="Arial" w:cs="Arial"/>
          <w:b w:val="0"/>
          <w:bCs w:val="0"/>
          <w:sz w:val="22"/>
          <w:szCs w:val="22"/>
          <w:u w:val="single"/>
          <w:vertAlign w:val="superscript"/>
          <w:lang w:val="fr-CH" w:eastAsia="en-US"/>
        </w:rPr>
        <w:t>er</w:t>
      </w:r>
      <w:r w:rsidRPr="00A770F8">
        <w:rPr>
          <w:rFonts w:ascii="Arial" w:eastAsia="Calibri" w:hAnsi="Arial" w:cs="Arial"/>
          <w:b w:val="0"/>
          <w:bCs w:val="0"/>
          <w:sz w:val="22"/>
          <w:szCs w:val="22"/>
          <w:u w:val="single"/>
          <w:lang w:val="fr-CH" w:eastAsia="en-US"/>
        </w:rPr>
        <w:t xml:space="preserve"> janvier 2021</w:t>
      </w:r>
      <w:r w:rsidRPr="004F781D">
        <w:rPr>
          <w:rFonts w:ascii="Arial" w:eastAsia="Calibri" w:hAnsi="Arial" w:cs="Arial"/>
          <w:b w:val="0"/>
          <w:bCs w:val="0"/>
          <w:sz w:val="22"/>
          <w:szCs w:val="22"/>
          <w:lang w:val="fr-CH" w:eastAsia="en-US"/>
        </w:rPr>
        <w:t xml:space="preserve">. </w:t>
      </w:r>
      <w:r w:rsidR="00A770F8">
        <w:rPr>
          <w:rFonts w:ascii="Arial" w:eastAsia="Calibri" w:hAnsi="Arial" w:cs="Arial"/>
          <w:b w:val="0"/>
          <w:bCs w:val="0"/>
          <w:sz w:val="22"/>
          <w:szCs w:val="22"/>
          <w:lang w:val="fr-CH" w:eastAsia="en-US"/>
        </w:rPr>
        <w:t>L</w:t>
      </w:r>
      <w:r w:rsidR="00C04B1F">
        <w:rPr>
          <w:rFonts w:ascii="Arial" w:eastAsia="Calibri" w:hAnsi="Arial" w:cs="Arial"/>
          <w:b w:val="0"/>
          <w:bCs w:val="0"/>
          <w:sz w:val="22"/>
          <w:szCs w:val="22"/>
          <w:lang w:val="fr-CH" w:eastAsia="en-US"/>
        </w:rPr>
        <w:t xml:space="preserve">’utilisation du guichet unique pour la déclaration et le paiement de la TVA due par l’assujetti dans un Etat membre dans lequel il n’est pas établi est étendu aux </w:t>
      </w:r>
      <w:r w:rsidRPr="004F781D">
        <w:rPr>
          <w:rFonts w:ascii="Arial" w:eastAsia="Calibri" w:hAnsi="Arial" w:cs="Arial"/>
          <w:b w:val="0"/>
          <w:bCs w:val="0"/>
          <w:sz w:val="22"/>
          <w:szCs w:val="22"/>
          <w:lang w:val="fr-CH" w:eastAsia="en-US"/>
        </w:rPr>
        <w:t>ventes</w:t>
      </w:r>
      <w:r w:rsidR="00C04B1F">
        <w:rPr>
          <w:rFonts w:ascii="Arial" w:eastAsia="Calibri" w:hAnsi="Arial" w:cs="Arial"/>
          <w:b w:val="0"/>
          <w:bCs w:val="0"/>
          <w:sz w:val="22"/>
          <w:szCs w:val="22"/>
          <w:lang w:val="fr-CH" w:eastAsia="en-US"/>
        </w:rPr>
        <w:t xml:space="preserve"> de biens</w:t>
      </w:r>
      <w:r w:rsidRPr="004F781D">
        <w:rPr>
          <w:rFonts w:ascii="Arial" w:eastAsia="Calibri" w:hAnsi="Arial" w:cs="Arial"/>
          <w:b w:val="0"/>
          <w:bCs w:val="0"/>
          <w:sz w:val="22"/>
          <w:szCs w:val="22"/>
          <w:lang w:val="fr-CH" w:eastAsia="en-US"/>
        </w:rPr>
        <w:t xml:space="preserve"> à distance et </w:t>
      </w:r>
      <w:r w:rsidR="00C04B1F">
        <w:rPr>
          <w:rFonts w:ascii="Arial" w:eastAsia="Calibri" w:hAnsi="Arial" w:cs="Arial"/>
          <w:b w:val="0"/>
          <w:bCs w:val="0"/>
          <w:sz w:val="22"/>
          <w:szCs w:val="22"/>
          <w:lang w:val="fr-CH" w:eastAsia="en-US"/>
        </w:rPr>
        <w:t xml:space="preserve">à toutes les </w:t>
      </w:r>
      <w:r w:rsidRPr="004F781D">
        <w:rPr>
          <w:rFonts w:ascii="Arial" w:eastAsia="Calibri" w:hAnsi="Arial" w:cs="Arial"/>
          <w:b w:val="0"/>
          <w:bCs w:val="0"/>
          <w:sz w:val="22"/>
          <w:szCs w:val="22"/>
          <w:lang w:val="fr-CH" w:eastAsia="en-US"/>
        </w:rPr>
        <w:t xml:space="preserve">prestations de services; un nouveau régime particulier relatif à la déclaration et </w:t>
      </w:r>
      <w:r w:rsidR="00C04B1F">
        <w:rPr>
          <w:rFonts w:ascii="Arial" w:eastAsia="Calibri" w:hAnsi="Arial" w:cs="Arial"/>
          <w:b w:val="0"/>
          <w:bCs w:val="0"/>
          <w:sz w:val="22"/>
          <w:szCs w:val="22"/>
          <w:lang w:val="fr-CH" w:eastAsia="en-US"/>
        </w:rPr>
        <w:t>au</w:t>
      </w:r>
      <w:r w:rsidRPr="004F781D">
        <w:rPr>
          <w:rFonts w:ascii="Arial" w:eastAsia="Calibri" w:hAnsi="Arial" w:cs="Arial"/>
          <w:b w:val="0"/>
          <w:bCs w:val="0"/>
          <w:sz w:val="22"/>
          <w:szCs w:val="22"/>
          <w:lang w:val="fr-CH" w:eastAsia="en-US"/>
        </w:rPr>
        <w:t xml:space="preserve"> paiement de la TVA </w:t>
      </w:r>
      <w:r w:rsidR="00C04B1F">
        <w:rPr>
          <w:rFonts w:ascii="Arial" w:eastAsia="Calibri" w:hAnsi="Arial" w:cs="Arial"/>
          <w:b w:val="0"/>
          <w:bCs w:val="0"/>
          <w:sz w:val="22"/>
          <w:szCs w:val="22"/>
          <w:lang w:val="fr-CH" w:eastAsia="en-US"/>
        </w:rPr>
        <w:t xml:space="preserve">à l’importation est introduit lorsque des </w:t>
      </w:r>
      <w:r w:rsidRPr="004F781D">
        <w:rPr>
          <w:rFonts w:ascii="Arial" w:eastAsia="Calibri" w:hAnsi="Arial" w:cs="Arial"/>
          <w:b w:val="0"/>
          <w:bCs w:val="0"/>
          <w:sz w:val="22"/>
          <w:szCs w:val="22"/>
          <w:lang w:val="fr-CH" w:eastAsia="en-US"/>
        </w:rPr>
        <w:t xml:space="preserve">biens d’une valeur </w:t>
      </w:r>
      <w:r w:rsidR="00C04B1F">
        <w:rPr>
          <w:rFonts w:ascii="Arial" w:eastAsia="Calibri" w:hAnsi="Arial" w:cs="Arial"/>
          <w:b w:val="0"/>
          <w:bCs w:val="0"/>
          <w:sz w:val="22"/>
          <w:szCs w:val="22"/>
          <w:lang w:val="fr-CH" w:eastAsia="en-US"/>
        </w:rPr>
        <w:t>intrinsèque ne dépassant pas</w:t>
      </w:r>
      <w:r w:rsidR="000A638A">
        <w:rPr>
          <w:rFonts w:ascii="Arial" w:eastAsia="Calibri" w:hAnsi="Arial" w:cs="Arial"/>
          <w:b w:val="0"/>
          <w:bCs w:val="0"/>
          <w:sz w:val="22"/>
          <w:szCs w:val="22"/>
          <w:lang w:val="fr-CH" w:eastAsia="en-US"/>
        </w:rPr>
        <w:t xml:space="preserve"> </w:t>
      </w:r>
      <w:r w:rsidRPr="004F781D">
        <w:rPr>
          <w:rFonts w:ascii="Arial" w:eastAsia="Calibri" w:hAnsi="Arial" w:cs="Arial"/>
          <w:b w:val="0"/>
          <w:bCs w:val="0"/>
          <w:sz w:val="22"/>
          <w:szCs w:val="22"/>
          <w:lang w:val="fr-CH" w:eastAsia="en-US"/>
        </w:rPr>
        <w:t>150 euros</w:t>
      </w:r>
      <w:r w:rsidR="00C04B1F">
        <w:rPr>
          <w:rFonts w:ascii="Arial" w:eastAsia="Calibri" w:hAnsi="Arial" w:cs="Arial"/>
          <w:b w:val="0"/>
          <w:bCs w:val="0"/>
          <w:sz w:val="22"/>
          <w:szCs w:val="22"/>
          <w:lang w:val="fr-CH" w:eastAsia="en-US"/>
        </w:rPr>
        <w:t xml:space="preserve"> sont présentés à la douane </w:t>
      </w:r>
      <w:r w:rsidRPr="004F781D">
        <w:rPr>
          <w:rFonts w:ascii="Arial" w:eastAsia="Calibri" w:hAnsi="Arial" w:cs="Arial"/>
          <w:b w:val="0"/>
          <w:bCs w:val="0"/>
          <w:sz w:val="22"/>
          <w:szCs w:val="22"/>
          <w:lang w:val="fr-CH" w:eastAsia="en-US"/>
        </w:rPr>
        <w:t xml:space="preserve">par </w:t>
      </w:r>
      <w:r w:rsidR="0083144D">
        <w:rPr>
          <w:rFonts w:ascii="Arial" w:eastAsia="Calibri" w:hAnsi="Arial" w:cs="Arial"/>
          <w:b w:val="0"/>
          <w:bCs w:val="0"/>
          <w:sz w:val="22"/>
          <w:szCs w:val="22"/>
          <w:lang w:val="fr-CH" w:eastAsia="en-US"/>
        </w:rPr>
        <w:t xml:space="preserve">un </w:t>
      </w:r>
      <w:r w:rsidRPr="004F781D">
        <w:rPr>
          <w:rFonts w:ascii="Arial" w:eastAsia="Calibri" w:hAnsi="Arial" w:cs="Arial"/>
          <w:b w:val="0"/>
          <w:bCs w:val="0"/>
          <w:sz w:val="22"/>
          <w:szCs w:val="22"/>
          <w:lang w:val="fr-CH" w:eastAsia="en-US"/>
        </w:rPr>
        <w:t xml:space="preserve">opérateur postal ou </w:t>
      </w:r>
      <w:r w:rsidR="0083144D">
        <w:rPr>
          <w:rFonts w:ascii="Arial" w:eastAsia="Calibri" w:hAnsi="Arial" w:cs="Arial"/>
          <w:b w:val="0"/>
          <w:bCs w:val="0"/>
          <w:sz w:val="22"/>
          <w:szCs w:val="22"/>
          <w:lang w:val="fr-CH" w:eastAsia="en-US"/>
        </w:rPr>
        <w:t xml:space="preserve">un opérateur </w:t>
      </w:r>
      <w:r w:rsidRPr="004F781D">
        <w:rPr>
          <w:rFonts w:ascii="Arial" w:eastAsia="Calibri" w:hAnsi="Arial" w:cs="Arial"/>
          <w:b w:val="0"/>
          <w:bCs w:val="0"/>
          <w:sz w:val="22"/>
          <w:szCs w:val="22"/>
          <w:lang w:val="fr-CH" w:eastAsia="en-US"/>
        </w:rPr>
        <w:t>courrier rapide</w:t>
      </w:r>
      <w:r w:rsidR="0083144D">
        <w:rPr>
          <w:rFonts w:ascii="Arial" w:eastAsia="Calibri" w:hAnsi="Arial" w:cs="Arial"/>
          <w:b w:val="0"/>
          <w:bCs w:val="0"/>
          <w:sz w:val="22"/>
          <w:szCs w:val="22"/>
          <w:lang w:val="fr-CH" w:eastAsia="en-US"/>
        </w:rPr>
        <w:t>, lorsque cet opérateur a collecté la TVA due auprès du destinataire final des biens</w:t>
      </w:r>
      <w:r w:rsidRPr="004F781D">
        <w:rPr>
          <w:rFonts w:ascii="Arial" w:eastAsia="Calibri" w:hAnsi="Arial" w:cs="Arial"/>
          <w:b w:val="0"/>
          <w:bCs w:val="0"/>
          <w:sz w:val="22"/>
          <w:szCs w:val="22"/>
          <w:lang w:val="fr-CH" w:eastAsia="en-US"/>
        </w:rPr>
        <w:t>.</w:t>
      </w: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r w:rsidRPr="004F781D">
        <w:rPr>
          <w:rFonts w:ascii="Arial" w:eastAsia="Calibri" w:hAnsi="Arial" w:cs="Arial"/>
          <w:b w:val="0"/>
          <w:bCs w:val="0"/>
          <w:sz w:val="22"/>
          <w:szCs w:val="22"/>
          <w:lang w:val="fr-CH" w:eastAsia="en-US"/>
        </w:rPr>
        <w:t xml:space="preserve">Le projet de loi sous rubrique se limite à la transposition des dispositions relatives à la </w:t>
      </w:r>
      <w:r w:rsidRPr="00A770F8">
        <w:rPr>
          <w:rFonts w:ascii="Arial" w:eastAsia="Calibri" w:hAnsi="Arial" w:cs="Arial"/>
          <w:b w:val="0"/>
          <w:bCs w:val="0"/>
          <w:sz w:val="22"/>
          <w:szCs w:val="22"/>
          <w:u w:val="single"/>
          <w:lang w:val="fr-CH" w:eastAsia="en-US"/>
        </w:rPr>
        <w:t>première échéance</w:t>
      </w:r>
      <w:r w:rsidRPr="004F781D">
        <w:rPr>
          <w:rFonts w:ascii="Arial" w:eastAsia="Calibri" w:hAnsi="Arial" w:cs="Arial"/>
          <w:b w:val="0"/>
          <w:bCs w:val="0"/>
          <w:sz w:val="22"/>
          <w:szCs w:val="22"/>
          <w:lang w:val="fr-CH" w:eastAsia="en-US"/>
        </w:rPr>
        <w:t xml:space="preserve">. </w:t>
      </w:r>
    </w:p>
    <w:p w:rsidR="004F781D" w:rsidRPr="004F781D" w:rsidRDefault="004F781D" w:rsidP="004F781D">
      <w:pPr>
        <w:spacing w:after="0" w:line="240" w:lineRule="auto"/>
        <w:jc w:val="both"/>
        <w:rPr>
          <w:rFonts w:ascii="Arial" w:hAnsi="Arial" w:cs="Arial"/>
          <w:lang w:val="fr-CH"/>
        </w:rPr>
      </w:pPr>
      <w:r w:rsidRPr="004F781D">
        <w:rPr>
          <w:rFonts w:ascii="Arial" w:hAnsi="Arial" w:cs="Arial"/>
          <w:lang w:val="fr-CH"/>
        </w:rPr>
        <w:lastRenderedPageBreak/>
        <w:t xml:space="preserve">Ainsi, la présente loi en projet apporte deux modifications à la loi modifiée du 12 février 1979 concernant la taxe sur la valeur ajoutée. Premièrement, afin d’alléger les charges administratives des petites entreprises, un seuil annuel de 10.000 </w:t>
      </w:r>
      <w:r w:rsidR="000A638A">
        <w:rPr>
          <w:rFonts w:ascii="Arial" w:hAnsi="Arial" w:cs="Arial"/>
          <w:lang w:val="fr-CH"/>
        </w:rPr>
        <w:t>euros</w:t>
      </w:r>
      <w:r w:rsidRPr="004F781D">
        <w:rPr>
          <w:rFonts w:ascii="Arial" w:hAnsi="Arial" w:cs="Arial"/>
          <w:lang w:val="fr-CH"/>
        </w:rPr>
        <w:t xml:space="preserve"> est établi pour les prestations de services de télécommunication, de radiodiffusion et de télévision ou de services fournis par voie électronique à des personnes non assujetties</w:t>
      </w:r>
      <w:r w:rsidR="0083144D">
        <w:rPr>
          <w:rFonts w:ascii="Arial" w:hAnsi="Arial" w:cs="Arial"/>
          <w:lang w:val="fr-CH"/>
        </w:rPr>
        <w:t xml:space="preserve"> ayant leur résidence dans un Etat membre autre que celui dans lequel le prestataire est établi. Lorsque le montant total desdites prestations de services effectuées par le prestataire au cours d’une année civile ne dépasse pas ce seuil</w:t>
      </w:r>
      <w:r w:rsidRPr="004F781D">
        <w:rPr>
          <w:rFonts w:ascii="Arial" w:hAnsi="Arial" w:cs="Arial"/>
          <w:lang w:val="fr-CH"/>
        </w:rPr>
        <w:t xml:space="preserve">, </w:t>
      </w:r>
      <w:r w:rsidR="0083144D">
        <w:rPr>
          <w:rFonts w:ascii="Arial" w:hAnsi="Arial" w:cs="Arial"/>
          <w:lang w:val="fr-CH"/>
        </w:rPr>
        <w:t xml:space="preserve">ces prestations de services sont taxables dans l’Etat membre d’établissement du prestataire, et celui-ci n’est dès lors </w:t>
      </w:r>
      <w:r w:rsidRPr="004F781D">
        <w:rPr>
          <w:rFonts w:ascii="Arial" w:hAnsi="Arial" w:cs="Arial"/>
          <w:lang w:val="fr-CH"/>
        </w:rPr>
        <w:t>pas obligé</w:t>
      </w:r>
      <w:r w:rsidR="0083144D">
        <w:rPr>
          <w:rFonts w:ascii="Arial" w:hAnsi="Arial" w:cs="Arial"/>
          <w:lang w:val="fr-CH"/>
        </w:rPr>
        <w:t xml:space="preserve"> de facturer la TVA de l’Etat membre du client et</w:t>
      </w:r>
      <w:r w:rsidRPr="004F781D">
        <w:rPr>
          <w:rFonts w:ascii="Arial" w:hAnsi="Arial" w:cs="Arial"/>
          <w:lang w:val="fr-CH"/>
        </w:rPr>
        <w:t xml:space="preserve"> de s’inscrire au « mini-guichet unique ».</w:t>
      </w:r>
    </w:p>
    <w:p w:rsid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p>
    <w:p w:rsidR="004F781D" w:rsidRPr="004F781D" w:rsidRDefault="004F781D" w:rsidP="004F781D">
      <w:pPr>
        <w:pStyle w:val="Titre2"/>
        <w:spacing w:before="0" w:beforeAutospacing="0" w:after="0" w:afterAutospacing="0"/>
        <w:jc w:val="both"/>
        <w:rPr>
          <w:rFonts w:ascii="Arial" w:eastAsia="Calibri" w:hAnsi="Arial" w:cs="Arial"/>
          <w:b w:val="0"/>
          <w:bCs w:val="0"/>
          <w:sz w:val="22"/>
          <w:szCs w:val="22"/>
          <w:lang w:val="fr-CH" w:eastAsia="en-US"/>
        </w:rPr>
      </w:pPr>
      <w:r w:rsidRPr="004F781D">
        <w:rPr>
          <w:rFonts w:ascii="Arial" w:eastAsia="Calibri" w:hAnsi="Arial" w:cs="Arial"/>
          <w:b w:val="0"/>
          <w:bCs w:val="0"/>
          <w:sz w:val="22"/>
          <w:szCs w:val="22"/>
          <w:lang w:val="fr-CH" w:eastAsia="en-US"/>
        </w:rPr>
        <w:t>Deuxièmement, les modalités de facturation de</w:t>
      </w:r>
      <w:r w:rsidR="0083144D">
        <w:rPr>
          <w:rFonts w:ascii="Arial" w:eastAsia="Calibri" w:hAnsi="Arial" w:cs="Arial"/>
          <w:b w:val="0"/>
          <w:bCs w:val="0"/>
          <w:sz w:val="22"/>
          <w:szCs w:val="22"/>
          <w:lang w:val="fr-CH" w:eastAsia="en-US"/>
        </w:rPr>
        <w:t>s opérations déclarées dans le « mini-guichet unique »</w:t>
      </w:r>
      <w:r w:rsidRPr="004F781D">
        <w:rPr>
          <w:rFonts w:ascii="Arial" w:eastAsia="Calibri" w:hAnsi="Arial" w:cs="Arial"/>
          <w:b w:val="0"/>
          <w:bCs w:val="0"/>
          <w:sz w:val="22"/>
          <w:szCs w:val="22"/>
          <w:lang w:val="fr-CH" w:eastAsia="en-US"/>
        </w:rPr>
        <w:t xml:space="preserve"> sont simplifiées. Ainsi</w:t>
      </w:r>
      <w:r w:rsidR="000A638A">
        <w:rPr>
          <w:rFonts w:ascii="Arial" w:eastAsia="Calibri" w:hAnsi="Arial" w:cs="Arial"/>
          <w:b w:val="0"/>
          <w:bCs w:val="0"/>
          <w:sz w:val="22"/>
          <w:szCs w:val="22"/>
          <w:lang w:val="fr-CH" w:eastAsia="en-US"/>
        </w:rPr>
        <w:t>,</w:t>
      </w:r>
      <w:r w:rsidR="00C54853">
        <w:rPr>
          <w:rFonts w:ascii="Arial" w:eastAsia="Calibri" w:hAnsi="Arial" w:cs="Arial"/>
          <w:b w:val="0"/>
          <w:bCs w:val="0"/>
          <w:sz w:val="22"/>
          <w:szCs w:val="22"/>
          <w:lang w:val="fr-CH" w:eastAsia="en-US"/>
        </w:rPr>
        <w:t xml:space="preserve"> dans une première étape,</w:t>
      </w:r>
      <w:r w:rsidRPr="004F781D">
        <w:rPr>
          <w:rFonts w:ascii="Arial" w:eastAsia="Calibri" w:hAnsi="Arial" w:cs="Arial"/>
          <w:b w:val="0"/>
          <w:bCs w:val="0"/>
          <w:sz w:val="22"/>
          <w:szCs w:val="22"/>
          <w:lang w:val="fr-CH" w:eastAsia="en-US"/>
        </w:rPr>
        <w:t xml:space="preserve"> les assujettis doivent uniquement respecter les obligations en matière de facturation dans le pays dans lequel ils sont identifiés à la TVA via le « mini-guichet unique », au lieu de</w:t>
      </w:r>
      <w:r w:rsidR="00C54853">
        <w:rPr>
          <w:rFonts w:ascii="Arial" w:eastAsia="Calibri" w:hAnsi="Arial" w:cs="Arial"/>
          <w:b w:val="0"/>
          <w:bCs w:val="0"/>
          <w:sz w:val="22"/>
          <w:szCs w:val="22"/>
          <w:lang w:val="fr-CH" w:eastAsia="en-US"/>
        </w:rPr>
        <w:t xml:space="preserve"> celles de</w:t>
      </w:r>
      <w:r w:rsidRPr="004F781D">
        <w:rPr>
          <w:rFonts w:ascii="Arial" w:eastAsia="Calibri" w:hAnsi="Arial" w:cs="Arial"/>
          <w:b w:val="0"/>
          <w:bCs w:val="0"/>
          <w:sz w:val="22"/>
          <w:szCs w:val="22"/>
          <w:lang w:val="fr-CH" w:eastAsia="en-US"/>
        </w:rPr>
        <w:t xml:space="preserve"> tous les Etats membres de l’UE dans lesquels ils prestent des services</w:t>
      </w:r>
      <w:r w:rsidR="00C54853">
        <w:rPr>
          <w:rFonts w:ascii="Arial" w:eastAsia="Calibri" w:hAnsi="Arial" w:cs="Arial"/>
          <w:b w:val="0"/>
          <w:bCs w:val="0"/>
          <w:sz w:val="22"/>
          <w:szCs w:val="22"/>
          <w:lang w:val="fr-CH" w:eastAsia="en-US"/>
        </w:rPr>
        <w:t xml:space="preserve"> « TBE »</w:t>
      </w:r>
      <w:r w:rsidRPr="004F781D">
        <w:rPr>
          <w:rFonts w:ascii="Arial" w:eastAsia="Calibri" w:hAnsi="Arial" w:cs="Arial"/>
          <w:b w:val="0"/>
          <w:bCs w:val="0"/>
          <w:sz w:val="22"/>
          <w:szCs w:val="22"/>
          <w:lang w:val="fr-CH" w:eastAsia="en-US"/>
        </w:rPr>
        <w:t>. Pour le cas du Luxembourg, il est précisé qu</w:t>
      </w:r>
      <w:r w:rsidR="00C54853">
        <w:rPr>
          <w:rFonts w:ascii="Arial" w:eastAsia="Calibri" w:hAnsi="Arial" w:cs="Arial"/>
          <w:b w:val="0"/>
          <w:bCs w:val="0"/>
          <w:sz w:val="22"/>
          <w:szCs w:val="22"/>
          <w:lang w:val="fr-CH" w:eastAsia="en-US"/>
        </w:rPr>
        <w:t xml:space="preserve">’en matière de services, il n’y a actuellement aucune obligation de facturation en ce qui concerne </w:t>
      </w:r>
      <w:r w:rsidRPr="004F781D">
        <w:rPr>
          <w:rFonts w:ascii="Arial" w:eastAsia="Calibri" w:hAnsi="Arial" w:cs="Arial"/>
          <w:b w:val="0"/>
          <w:bCs w:val="0"/>
          <w:sz w:val="22"/>
          <w:szCs w:val="22"/>
          <w:lang w:val="fr-CH" w:eastAsia="en-US"/>
        </w:rPr>
        <w:t xml:space="preserve">les transactions « B2C » (business to consumer). Par conséquent, les prestataires des services en question, enregistrés </w:t>
      </w:r>
      <w:r w:rsidR="00C54853">
        <w:rPr>
          <w:rFonts w:ascii="Arial" w:eastAsia="Calibri" w:hAnsi="Arial" w:cs="Arial"/>
          <w:b w:val="0"/>
          <w:bCs w:val="0"/>
          <w:sz w:val="22"/>
          <w:szCs w:val="22"/>
          <w:lang w:val="fr-CH" w:eastAsia="en-US"/>
        </w:rPr>
        <w:t>dans le</w:t>
      </w:r>
      <w:r w:rsidRPr="004F781D">
        <w:rPr>
          <w:rFonts w:ascii="Arial" w:eastAsia="Calibri" w:hAnsi="Arial" w:cs="Arial"/>
          <w:b w:val="0"/>
          <w:bCs w:val="0"/>
          <w:sz w:val="22"/>
          <w:szCs w:val="22"/>
          <w:lang w:val="fr-CH" w:eastAsia="en-US"/>
        </w:rPr>
        <w:t xml:space="preserve"> « mini-guichet unique » au Luxembourg, n’auront plus besoin d’émettre des factures pour la prestation de leurs services dans l’UE.</w:t>
      </w:r>
    </w:p>
    <w:p w:rsidR="0002273C" w:rsidRPr="009C12DF" w:rsidRDefault="0002273C" w:rsidP="0002273C">
      <w:pPr>
        <w:pStyle w:val="Body"/>
        <w:widowControl w:val="0"/>
        <w:tabs>
          <w:tab w:val="num" w:pos="284"/>
        </w:tabs>
        <w:jc w:val="both"/>
        <w:rPr>
          <w:rFonts w:ascii="Arial" w:hAnsi="Arial" w:cs="Arial"/>
          <w:sz w:val="22"/>
          <w:szCs w:val="22"/>
        </w:rPr>
      </w:pPr>
    </w:p>
    <w:sectPr w:rsidR="0002273C" w:rsidRPr="009C12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0CD" w:rsidRDefault="00DB30CD" w:rsidP="00BD672D">
      <w:pPr>
        <w:spacing w:after="0" w:line="240" w:lineRule="auto"/>
      </w:pPr>
      <w:r>
        <w:separator/>
      </w:r>
    </w:p>
  </w:endnote>
  <w:endnote w:type="continuationSeparator" w:id="0">
    <w:p w:rsidR="00DB30CD" w:rsidRDefault="00DB30CD" w:rsidP="00BD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31" w:rsidRDefault="00753731">
    <w:pPr>
      <w:pStyle w:val="Pieddepage"/>
      <w:jc w:val="center"/>
    </w:pPr>
    <w:r>
      <w:fldChar w:fldCharType="begin"/>
    </w:r>
    <w:r>
      <w:instrText>PAGE   \* MERGEFORMAT</w:instrText>
    </w:r>
    <w:r>
      <w:fldChar w:fldCharType="separate"/>
    </w:r>
    <w:r w:rsidR="00930151" w:rsidRPr="00930151">
      <w:rPr>
        <w:noProof/>
        <w:lang w:val="fr-FR"/>
      </w:rPr>
      <w:t>1</w:t>
    </w:r>
    <w:r>
      <w:fldChar w:fldCharType="end"/>
    </w:r>
  </w:p>
  <w:p w:rsidR="00753731" w:rsidRDefault="0075373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0CD" w:rsidRDefault="00DB30CD" w:rsidP="00BD672D">
      <w:pPr>
        <w:spacing w:after="0" w:line="240" w:lineRule="auto"/>
      </w:pPr>
      <w:r>
        <w:separator/>
      </w:r>
    </w:p>
  </w:footnote>
  <w:footnote w:type="continuationSeparator" w:id="0">
    <w:p w:rsidR="00DB30CD" w:rsidRDefault="00DB30CD" w:rsidP="00BD6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75767499"/>
    <w:multiLevelType w:val="hybridMultilevel"/>
    <w:tmpl w:val="F7FACFDC"/>
    <w:lvl w:ilvl="0" w:tplc="88B4D182">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7" w15:restartNumberingAfterBreak="0">
    <w:nsid w:val="773B72B8"/>
    <w:multiLevelType w:val="hybridMultilevel"/>
    <w:tmpl w:val="15F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43C06"/>
    <w:rsid w:val="000459BD"/>
    <w:rsid w:val="000746F7"/>
    <w:rsid w:val="000762ED"/>
    <w:rsid w:val="000A638A"/>
    <w:rsid w:val="000D5CA5"/>
    <w:rsid w:val="0010111B"/>
    <w:rsid w:val="001120F5"/>
    <w:rsid w:val="00161F7F"/>
    <w:rsid w:val="001839DE"/>
    <w:rsid w:val="002750A4"/>
    <w:rsid w:val="002851C5"/>
    <w:rsid w:val="002F0ADB"/>
    <w:rsid w:val="002F2AA3"/>
    <w:rsid w:val="002F3B16"/>
    <w:rsid w:val="003F5E23"/>
    <w:rsid w:val="00457E34"/>
    <w:rsid w:val="00470BBE"/>
    <w:rsid w:val="00495E9F"/>
    <w:rsid w:val="004C2FA1"/>
    <w:rsid w:val="004F781D"/>
    <w:rsid w:val="005B5C56"/>
    <w:rsid w:val="00702925"/>
    <w:rsid w:val="007255F0"/>
    <w:rsid w:val="007265A3"/>
    <w:rsid w:val="00752348"/>
    <w:rsid w:val="00753731"/>
    <w:rsid w:val="007942C7"/>
    <w:rsid w:val="007D5362"/>
    <w:rsid w:val="00830E27"/>
    <w:rsid w:val="0083144D"/>
    <w:rsid w:val="00860178"/>
    <w:rsid w:val="008F2DFB"/>
    <w:rsid w:val="00901DA7"/>
    <w:rsid w:val="009278CA"/>
    <w:rsid w:val="00930151"/>
    <w:rsid w:val="00976BF9"/>
    <w:rsid w:val="009C0799"/>
    <w:rsid w:val="009D3856"/>
    <w:rsid w:val="00A21CC5"/>
    <w:rsid w:val="00A63AE6"/>
    <w:rsid w:val="00A770F8"/>
    <w:rsid w:val="00AB31D4"/>
    <w:rsid w:val="00B03BD1"/>
    <w:rsid w:val="00BA01B2"/>
    <w:rsid w:val="00BD672D"/>
    <w:rsid w:val="00C04B1F"/>
    <w:rsid w:val="00C11ED2"/>
    <w:rsid w:val="00C24E93"/>
    <w:rsid w:val="00C364A6"/>
    <w:rsid w:val="00C54853"/>
    <w:rsid w:val="00C83693"/>
    <w:rsid w:val="00CE7012"/>
    <w:rsid w:val="00D21F94"/>
    <w:rsid w:val="00D752D4"/>
    <w:rsid w:val="00DB30CD"/>
    <w:rsid w:val="00E02A9D"/>
    <w:rsid w:val="00E072B7"/>
    <w:rsid w:val="00E6020E"/>
    <w:rsid w:val="00E842D2"/>
    <w:rsid w:val="00E93021"/>
    <w:rsid w:val="00EB2727"/>
    <w:rsid w:val="00ED1B6D"/>
    <w:rsid w:val="00F15F71"/>
    <w:rsid w:val="00F60E44"/>
    <w:rsid w:val="00FC2511"/>
    <w:rsid w:val="00FF70E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FFC6FBA-C758-43E3-8264-C1278E8B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link w:val="Titre2Car"/>
    <w:uiPriority w:val="9"/>
    <w:qFormat/>
    <w:rsid w:val="004F781D"/>
    <w:pPr>
      <w:spacing w:before="100" w:beforeAutospacing="1" w:after="100" w:afterAutospacing="1" w:line="240" w:lineRule="auto"/>
      <w:outlineLvl w:val="1"/>
    </w:pPr>
    <w:rPr>
      <w:rFonts w:ascii="Times New Roman" w:eastAsia="Times New Roman" w:hAnsi="Times New Roman"/>
      <w:b/>
      <w:bCs/>
      <w:sz w:val="36"/>
      <w:szCs w:val="36"/>
      <w:lang w:val="de-LU" w:eastAsia="de-DE"/>
    </w:rPr>
  </w:style>
  <w:style w:type="paragraph" w:styleId="Titre5">
    <w:name w:val="heading 5"/>
    <w:basedOn w:val="Normal"/>
    <w:next w:val="Normal"/>
    <w:link w:val="Titre5Car"/>
    <w:uiPriority w:val="9"/>
    <w:semiHidden/>
    <w:unhideWhenUsed/>
    <w:qFormat/>
    <w:rsid w:val="00BA01B2"/>
    <w:pPr>
      <w:spacing w:before="240" w:after="60"/>
      <w:outlineLvl w:val="4"/>
    </w:pPr>
    <w:rPr>
      <w:rFonts w:eastAsia="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character" w:customStyle="1" w:styleId="Titre2Car">
    <w:name w:val="Titre 2 Car"/>
    <w:link w:val="Titre2"/>
    <w:uiPriority w:val="9"/>
    <w:rsid w:val="004F781D"/>
    <w:rPr>
      <w:rFonts w:ascii="Times New Roman" w:eastAsia="Times New Roman" w:hAnsi="Times New Roman"/>
      <w:b/>
      <w:bCs/>
      <w:sz w:val="36"/>
      <w:szCs w:val="36"/>
      <w:lang w:val="de-LU" w:eastAsia="de-DE"/>
    </w:rPr>
  </w:style>
  <w:style w:type="paragraph" w:styleId="Notedebasdepage">
    <w:name w:val="footnote text"/>
    <w:basedOn w:val="Normal"/>
    <w:link w:val="NotedebasdepageCar"/>
    <w:uiPriority w:val="99"/>
    <w:semiHidden/>
    <w:unhideWhenUsed/>
    <w:rsid w:val="00BD672D"/>
    <w:rPr>
      <w:sz w:val="20"/>
      <w:szCs w:val="20"/>
    </w:rPr>
  </w:style>
  <w:style w:type="character" w:customStyle="1" w:styleId="NotedebasdepageCar">
    <w:name w:val="Note de bas de page Car"/>
    <w:link w:val="Notedebasdepage"/>
    <w:uiPriority w:val="99"/>
    <w:semiHidden/>
    <w:rsid w:val="00BD672D"/>
    <w:rPr>
      <w:lang w:eastAsia="en-US"/>
    </w:rPr>
  </w:style>
  <w:style w:type="character" w:styleId="Appelnotedebasdep">
    <w:name w:val="footnote reference"/>
    <w:uiPriority w:val="99"/>
    <w:semiHidden/>
    <w:unhideWhenUsed/>
    <w:rsid w:val="00BD672D"/>
    <w:rPr>
      <w:vertAlign w:val="superscript"/>
    </w:rPr>
  </w:style>
  <w:style w:type="paragraph" w:styleId="Textedebulles">
    <w:name w:val="Balloon Text"/>
    <w:basedOn w:val="Normal"/>
    <w:link w:val="TextedebullesCar"/>
    <w:uiPriority w:val="99"/>
    <w:semiHidden/>
    <w:unhideWhenUsed/>
    <w:rsid w:val="00A21CC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21CC5"/>
    <w:rPr>
      <w:rFonts w:ascii="Segoe UI" w:hAnsi="Segoe UI" w:cs="Segoe UI"/>
      <w:sz w:val="18"/>
      <w:szCs w:val="18"/>
      <w:lang w:eastAsia="en-US"/>
    </w:rPr>
  </w:style>
  <w:style w:type="character" w:customStyle="1" w:styleId="Titre5Car">
    <w:name w:val="Titre 5 Car"/>
    <w:link w:val="Titre5"/>
    <w:uiPriority w:val="9"/>
    <w:semiHidden/>
    <w:rsid w:val="00BA01B2"/>
    <w:rPr>
      <w:rFonts w:ascii="Calibri" w:eastAsia="Times New Roman" w:hAnsi="Calibri" w:cs="Times New Roman"/>
      <w:b/>
      <w:bCs/>
      <w:i/>
      <w:iCs/>
      <w:sz w:val="26"/>
      <w:szCs w:val="26"/>
      <w:lang w:eastAsia="en-US"/>
    </w:rPr>
  </w:style>
  <w:style w:type="paragraph" w:styleId="En-tte">
    <w:name w:val="header"/>
    <w:basedOn w:val="Normal"/>
    <w:link w:val="En-tteCar"/>
    <w:uiPriority w:val="99"/>
    <w:unhideWhenUsed/>
    <w:rsid w:val="00D21F94"/>
    <w:pPr>
      <w:tabs>
        <w:tab w:val="center" w:pos="4536"/>
        <w:tab w:val="right" w:pos="9072"/>
      </w:tabs>
    </w:pPr>
  </w:style>
  <w:style w:type="character" w:customStyle="1" w:styleId="En-tteCar">
    <w:name w:val="En-tête Car"/>
    <w:link w:val="En-tte"/>
    <w:uiPriority w:val="99"/>
    <w:rsid w:val="00D21F94"/>
    <w:rPr>
      <w:sz w:val="22"/>
      <w:szCs w:val="22"/>
      <w:lang w:eastAsia="en-US"/>
    </w:rPr>
  </w:style>
  <w:style w:type="paragraph" w:styleId="Pieddepage">
    <w:name w:val="footer"/>
    <w:basedOn w:val="Normal"/>
    <w:link w:val="PieddepageCar"/>
    <w:uiPriority w:val="99"/>
    <w:unhideWhenUsed/>
    <w:rsid w:val="00D21F94"/>
    <w:pPr>
      <w:tabs>
        <w:tab w:val="center" w:pos="4536"/>
        <w:tab w:val="right" w:pos="9072"/>
      </w:tabs>
    </w:pPr>
  </w:style>
  <w:style w:type="character" w:customStyle="1" w:styleId="PieddepageCar">
    <w:name w:val="Pied de page Car"/>
    <w:link w:val="Pieddepage"/>
    <w:uiPriority w:val="99"/>
    <w:rsid w:val="00D21F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4EC60DB-462C-4A60-A9AA-0A1180BD0B95}">
  <ds:schemaRefs>
    <ds:schemaRef ds:uri="http://schemas.openxmlformats.org/officeDocument/2006/bibliography"/>
  </ds:schemaRefs>
</ds:datastoreItem>
</file>

<file path=customXml/itemProps2.xml><?xml version="1.0" encoding="utf-8"?>
<ds:datastoreItem xmlns:ds="http://schemas.openxmlformats.org/officeDocument/2006/customXml" ds:itemID="{E8DF7520-E8D4-4BC4-90E1-2FD302A2630C}"/>
</file>

<file path=customXml/itemProps3.xml><?xml version="1.0" encoding="utf-8"?>
<ds:datastoreItem xmlns:ds="http://schemas.openxmlformats.org/officeDocument/2006/customXml" ds:itemID="{BAA11EE1-9BEA-4A25-9DFE-413F7D020D61}"/>
</file>

<file path=customXml/itemProps4.xml><?xml version="1.0" encoding="utf-8"?>
<ds:datastoreItem xmlns:ds="http://schemas.openxmlformats.org/officeDocument/2006/customXml" ds:itemID="{B3DB175B-B054-408A-B7EC-F40B192C0CF4}"/>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4808</Characters>
  <Application>Microsoft Office Word</Application>
  <DocSecurity>4</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