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95" w:rsidRPr="009964F5" w:rsidRDefault="00D32DF3" w:rsidP="00D32DF3">
      <w:pPr>
        <w:widowControl w:val="0"/>
        <w:tabs>
          <w:tab w:val="left" w:pos="0"/>
        </w:tabs>
        <w:spacing w:after="0" w:line="240" w:lineRule="auto"/>
        <w:jc w:val="both"/>
        <w:outlineLvl w:val="1"/>
        <w:rPr>
          <w:rFonts w:ascii="Arial" w:hAnsi="Arial" w:cs="Arial"/>
          <w:b/>
          <w:bCs/>
          <w:lang w:val="fr-FR"/>
        </w:rPr>
      </w:pPr>
      <w:bookmarkStart w:id="0" w:name="_GoBack"/>
      <w:bookmarkEnd w:id="0"/>
      <w:r w:rsidRPr="00F710F5">
        <w:rPr>
          <w:rFonts w:ascii="Arial" w:hAnsi="Arial" w:cs="Arial"/>
          <w:b/>
        </w:rPr>
        <w:t>Projet de loi portant modification de la loi modifiée du 5 avril 1993 relative au secteur financier en vue de l’introduction de lettres de gage portant sur les énergies renouvelables</w:t>
      </w:r>
    </w:p>
    <w:p w:rsidR="00752348" w:rsidRPr="00F66FFB" w:rsidRDefault="00752348" w:rsidP="00E3772A">
      <w:pPr>
        <w:spacing w:after="0" w:line="240" w:lineRule="auto"/>
        <w:jc w:val="both"/>
        <w:rPr>
          <w:b/>
        </w:rPr>
      </w:pPr>
    </w:p>
    <w:p w:rsidR="00DC4316" w:rsidRDefault="00DC4316" w:rsidP="00B44224">
      <w:pPr>
        <w:spacing w:after="0" w:line="240" w:lineRule="auto"/>
        <w:jc w:val="both"/>
        <w:rPr>
          <w:rFonts w:ascii="Arial" w:eastAsia="Cambria" w:hAnsi="Arial" w:cs="Arial"/>
          <w:color w:val="000000"/>
          <w:u w:color="000000"/>
          <w:bdr w:val="nil"/>
          <w:lang w:val="fr-FR"/>
        </w:rPr>
      </w:pPr>
      <w:r w:rsidRPr="00726753">
        <w:rPr>
          <w:rFonts w:ascii="Arial" w:eastAsia="Cambria" w:hAnsi="Arial" w:cs="Arial"/>
          <w:color w:val="000000"/>
          <w:u w:color="000000"/>
          <w:bdr w:val="nil"/>
          <w:lang w:val="fr-FR"/>
        </w:rPr>
        <w:t>Le projet de loi sous rubrique a pour objet d’apporter certaines modifications à la loi modifiée du 5 avril 1993 relative au secteur financier afin d’y introduire une nouvelle catégorie de lettre de gage, la lettre de gage « énergies renouvelables ».</w:t>
      </w:r>
    </w:p>
    <w:p w:rsidR="00B44224" w:rsidRDefault="00B44224" w:rsidP="00B44224">
      <w:pPr>
        <w:spacing w:after="0" w:line="240" w:lineRule="auto"/>
        <w:jc w:val="both"/>
        <w:rPr>
          <w:rFonts w:ascii="Arial" w:eastAsia="Cambria" w:hAnsi="Arial" w:cs="Arial"/>
          <w:b/>
          <w:color w:val="000000"/>
          <w:u w:color="000000"/>
          <w:bdr w:val="nil"/>
          <w:lang w:val="fr-FR"/>
        </w:rPr>
      </w:pPr>
    </w:p>
    <w:p w:rsidR="00B44224" w:rsidRDefault="00DC4316" w:rsidP="00B44224">
      <w:pPr>
        <w:spacing w:after="0" w:line="240" w:lineRule="auto"/>
        <w:jc w:val="both"/>
        <w:rPr>
          <w:rFonts w:ascii="Arial" w:eastAsia="Cambria" w:hAnsi="Arial" w:cs="Arial"/>
          <w:color w:val="000000"/>
          <w:u w:color="000000"/>
          <w:bdr w:val="nil"/>
          <w:lang w:val="fr-FR"/>
        </w:rPr>
      </w:pPr>
      <w:r>
        <w:rPr>
          <w:rFonts w:ascii="Arial" w:eastAsia="Cambria" w:hAnsi="Arial" w:cs="Arial"/>
          <w:color w:val="000000"/>
          <w:u w:color="000000"/>
          <w:bdr w:val="nil"/>
          <w:lang w:val="fr-FR"/>
        </w:rPr>
        <w:t xml:space="preserve">La « Luxembourg Green Exchange » de la bourse luxembourgeoise est la première plate-forme mondiale dédiée exclusivement à la finance verte. Elle cote actuellement plus de la moitié des obligations vertes du monde. La nouvelle lettre de gage énergies renouvelables est le premier instrument financier dont les critères de durabilité sont fixés par un cadre légal. </w:t>
      </w:r>
    </w:p>
    <w:p w:rsidR="00B44224" w:rsidRDefault="00B44224" w:rsidP="00B44224">
      <w:pPr>
        <w:spacing w:after="0" w:line="240" w:lineRule="auto"/>
        <w:jc w:val="both"/>
        <w:rPr>
          <w:rFonts w:ascii="Arial" w:eastAsia="Cambria" w:hAnsi="Arial" w:cs="Arial"/>
          <w:color w:val="000000"/>
          <w:u w:color="000000"/>
          <w:bdr w:val="nil"/>
          <w:lang w:val="fr-FR"/>
        </w:rPr>
      </w:pPr>
    </w:p>
    <w:p w:rsidR="00DC4316" w:rsidRDefault="00DC4316" w:rsidP="00B44224">
      <w:pPr>
        <w:spacing w:after="0" w:line="240" w:lineRule="auto"/>
        <w:jc w:val="both"/>
        <w:rPr>
          <w:rFonts w:ascii="Arial" w:eastAsia="Cambria" w:hAnsi="Arial" w:cs="Arial"/>
          <w:color w:val="000000"/>
          <w:u w:color="000000"/>
          <w:bdr w:val="nil"/>
          <w:lang w:val="fr-FR"/>
        </w:rPr>
      </w:pPr>
      <w:r>
        <w:rPr>
          <w:rFonts w:ascii="Arial" w:eastAsia="Cambria" w:hAnsi="Arial" w:cs="Arial"/>
          <w:color w:val="000000"/>
          <w:u w:color="000000"/>
          <w:bdr w:val="nil"/>
          <w:lang w:val="fr-FR"/>
        </w:rPr>
        <w:t xml:space="preserve">La présente loi en projet représente ainsi un premier point de référence sur un marché jusqu’à présent dépourvu de définition claire de la notion de projet « vert ». </w:t>
      </w:r>
      <w:r w:rsidRPr="00EA1384">
        <w:rPr>
          <w:rFonts w:ascii="Arial" w:eastAsia="Cambria" w:hAnsi="Arial" w:cs="Arial"/>
          <w:color w:val="000000"/>
          <w:u w:color="000000"/>
          <w:bdr w:val="nil"/>
          <w:lang w:val="fr-FR"/>
        </w:rPr>
        <w:t xml:space="preserve">Elle </w:t>
      </w:r>
      <w:r w:rsidR="00EA1384">
        <w:rPr>
          <w:rFonts w:ascii="Arial" w:eastAsia="Cambria" w:hAnsi="Arial" w:cs="Arial"/>
          <w:color w:val="000000"/>
          <w:u w:color="000000"/>
          <w:bdr w:val="nil"/>
          <w:lang w:val="fr-FR"/>
        </w:rPr>
        <w:t>facilite le financement de</w:t>
      </w:r>
      <w:r>
        <w:rPr>
          <w:rFonts w:ascii="Arial" w:eastAsia="Cambria" w:hAnsi="Arial" w:cs="Arial"/>
          <w:color w:val="000000"/>
          <w:u w:color="000000"/>
          <w:bdr w:val="nil"/>
          <w:lang w:val="fr-FR"/>
        </w:rPr>
        <w:t xml:space="preserve"> la réalisation de projets générateurs d’énergies renouvelables, et vise de cette manière à stimuler l’implantation et l’émergence d’initiatives dans ce secteur.</w:t>
      </w:r>
    </w:p>
    <w:p w:rsidR="00B44224" w:rsidRDefault="00B44224" w:rsidP="00B44224">
      <w:pPr>
        <w:spacing w:after="0" w:line="240" w:lineRule="auto"/>
        <w:jc w:val="both"/>
        <w:rPr>
          <w:rFonts w:ascii="Arial" w:eastAsia="Cambria" w:hAnsi="Arial" w:cs="Arial"/>
          <w:color w:val="000000"/>
          <w:u w:color="000000"/>
          <w:bdr w:val="nil"/>
          <w:lang w:val="fr-FR"/>
        </w:rPr>
      </w:pPr>
    </w:p>
    <w:p w:rsidR="00DC4316" w:rsidRDefault="00DC4316" w:rsidP="00B44224">
      <w:pPr>
        <w:spacing w:after="0" w:line="240" w:lineRule="auto"/>
        <w:jc w:val="both"/>
        <w:rPr>
          <w:rFonts w:ascii="Arial" w:eastAsia="Cambria" w:hAnsi="Arial" w:cs="Arial"/>
          <w:color w:val="000000"/>
          <w:u w:color="000000"/>
          <w:bdr w:val="nil"/>
          <w:lang w:val="fr-FR"/>
        </w:rPr>
      </w:pPr>
      <w:r>
        <w:rPr>
          <w:rFonts w:ascii="Arial" w:eastAsia="Cambria" w:hAnsi="Arial" w:cs="Arial"/>
          <w:color w:val="000000"/>
          <w:u w:color="000000"/>
          <w:bdr w:val="nil"/>
          <w:lang w:val="fr-FR"/>
        </w:rPr>
        <w:t xml:space="preserve">Le projet de loi s’inscrit dans une série d’efforts du Luxembourg de développer davantage le secteur. Par </w:t>
      </w:r>
      <w:r w:rsidR="009B7C0E">
        <w:rPr>
          <w:rFonts w:ascii="Arial" w:eastAsia="Cambria" w:hAnsi="Arial" w:cs="Arial"/>
          <w:color w:val="000000"/>
          <w:u w:color="000000"/>
          <w:bdr w:val="nil"/>
          <w:lang w:val="fr-FR"/>
        </w:rPr>
        <w:t>c</w:t>
      </w:r>
      <w:r>
        <w:rPr>
          <w:rFonts w:ascii="Arial" w:eastAsia="Cambria" w:hAnsi="Arial" w:cs="Arial"/>
          <w:color w:val="000000"/>
          <w:u w:color="000000"/>
          <w:bdr w:val="nil"/>
          <w:lang w:val="fr-FR"/>
        </w:rPr>
        <w:t>es efforts, le Luxembourg démontre l’importance qu’il accorde au développement durable et à l’atteinte de ses objectifs climatiques. Parallèlement, outre l’aspect environnemental, le développement du secteur de la finance verte fait partie de la stratégie de diversification de la place financière et de l’économie luxembourgeoise. Le projet de loi introduit un nouveau produit financier d’un standard</w:t>
      </w:r>
      <w:r w:rsidRPr="00906414">
        <w:rPr>
          <w:rFonts w:ascii="Arial" w:eastAsia="Cambria" w:hAnsi="Arial" w:cs="Arial"/>
          <w:color w:val="000000"/>
          <w:u w:color="000000"/>
          <w:bdr w:val="nil"/>
          <w:lang w:val="fr-FR"/>
        </w:rPr>
        <w:t xml:space="preserve"> </w:t>
      </w:r>
      <w:r>
        <w:rPr>
          <w:rFonts w:ascii="Arial" w:eastAsia="Cambria" w:hAnsi="Arial" w:cs="Arial"/>
          <w:color w:val="000000"/>
          <w:u w:color="000000"/>
          <w:bdr w:val="nil"/>
          <w:lang w:val="fr-FR"/>
        </w:rPr>
        <w:t>très élevé qui complète la gamme des produits à disposition sur le marché luxembourgeois. En même temps, il témoigne également de l’esprit innovateur du Luxembourg en la matière.</w:t>
      </w:r>
    </w:p>
    <w:p w:rsidR="00B44224" w:rsidRDefault="00B44224" w:rsidP="00B44224">
      <w:pPr>
        <w:spacing w:after="0" w:line="240" w:lineRule="auto"/>
        <w:jc w:val="both"/>
        <w:rPr>
          <w:rFonts w:ascii="Arial" w:eastAsia="Cambria" w:hAnsi="Arial" w:cs="Arial"/>
          <w:color w:val="000000"/>
          <w:u w:color="000000"/>
          <w:bdr w:val="nil"/>
          <w:lang w:val="fr-FR"/>
        </w:rPr>
      </w:pPr>
    </w:p>
    <w:p w:rsidR="00DC4316" w:rsidRDefault="00DC4316" w:rsidP="00B44224">
      <w:pPr>
        <w:spacing w:after="0" w:line="240" w:lineRule="auto"/>
        <w:jc w:val="both"/>
        <w:rPr>
          <w:rFonts w:ascii="Arial" w:eastAsia="Cambria" w:hAnsi="Arial" w:cs="Arial"/>
          <w:color w:val="000000"/>
          <w:u w:color="000000"/>
          <w:bdr w:val="nil"/>
          <w:lang w:val="fr-FR"/>
        </w:rPr>
      </w:pPr>
      <w:r>
        <w:rPr>
          <w:rFonts w:ascii="Arial" w:eastAsia="Cambria" w:hAnsi="Arial" w:cs="Arial"/>
          <w:color w:val="000000"/>
          <w:u w:color="000000"/>
          <w:bdr w:val="nil"/>
          <w:lang w:val="fr-FR"/>
        </w:rPr>
        <w:t>Finalement, suivant les recommandations de l’Autorité bancaire européenne (ABE), le projet de loi modifie encore ponctuellement certaines dispositions générales du régime des banques d’émission de lettres de gage.</w:t>
      </w:r>
    </w:p>
    <w:p w:rsidR="00DC4316" w:rsidRPr="00D23A2C" w:rsidRDefault="00DC4316" w:rsidP="00B44224">
      <w:pPr>
        <w:spacing w:after="0" w:line="240" w:lineRule="auto"/>
        <w:jc w:val="both"/>
        <w:rPr>
          <w:rFonts w:ascii="Arial" w:hAnsi="Arial" w:cs="Arial"/>
        </w:rPr>
      </w:pPr>
      <w:r>
        <w:rPr>
          <w:rFonts w:ascii="Arial" w:eastAsia="Cambria" w:hAnsi="Arial" w:cs="Arial"/>
          <w:color w:val="000000"/>
          <w:u w:color="000000"/>
          <w:bdr w:val="nil"/>
          <w:lang w:val="fr-FR"/>
        </w:rPr>
        <w:t xml:space="preserve"> </w:t>
      </w:r>
    </w:p>
    <w:p w:rsidR="00DC4316" w:rsidRPr="00D23A2C" w:rsidRDefault="00DC4316" w:rsidP="00DC4316">
      <w:pPr>
        <w:pStyle w:val="Body"/>
        <w:widowControl w:val="0"/>
        <w:tabs>
          <w:tab w:val="num" w:pos="284"/>
        </w:tabs>
        <w:jc w:val="both"/>
        <w:rPr>
          <w:rFonts w:ascii="Arial" w:hAnsi="Arial" w:cs="Arial"/>
          <w:sz w:val="22"/>
          <w:szCs w:val="22"/>
        </w:rPr>
      </w:pPr>
    </w:p>
    <w:sectPr w:rsidR="00DC4316" w:rsidRPr="00D23A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FF" w:rsidRDefault="00FF4FFF" w:rsidP="00FF530F">
      <w:pPr>
        <w:spacing w:after="0" w:line="240" w:lineRule="auto"/>
      </w:pPr>
      <w:r>
        <w:separator/>
      </w:r>
    </w:p>
  </w:endnote>
  <w:endnote w:type="continuationSeparator" w:id="0">
    <w:p w:rsidR="00FF4FFF" w:rsidRDefault="00FF4FFF" w:rsidP="00FF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A1" w:rsidRPr="008947EE" w:rsidRDefault="001F65A1">
    <w:pPr>
      <w:pStyle w:val="Pieddepage"/>
      <w:jc w:val="center"/>
      <w:rPr>
        <w:rFonts w:ascii="Arial" w:hAnsi="Arial" w:cs="Arial"/>
        <w:sz w:val="20"/>
        <w:szCs w:val="20"/>
      </w:rPr>
    </w:pPr>
    <w:r w:rsidRPr="008947EE">
      <w:rPr>
        <w:rFonts w:ascii="Arial" w:hAnsi="Arial" w:cs="Arial"/>
        <w:sz w:val="20"/>
        <w:szCs w:val="20"/>
      </w:rPr>
      <w:fldChar w:fldCharType="begin"/>
    </w:r>
    <w:r w:rsidRPr="008947EE">
      <w:rPr>
        <w:rFonts w:ascii="Arial" w:hAnsi="Arial" w:cs="Arial"/>
        <w:sz w:val="20"/>
        <w:szCs w:val="20"/>
      </w:rPr>
      <w:instrText>PAGE   \* MERGEFORMAT</w:instrText>
    </w:r>
    <w:r w:rsidRPr="008947EE">
      <w:rPr>
        <w:rFonts w:ascii="Arial" w:hAnsi="Arial" w:cs="Arial"/>
        <w:sz w:val="20"/>
        <w:szCs w:val="20"/>
      </w:rPr>
      <w:fldChar w:fldCharType="separate"/>
    </w:r>
    <w:r w:rsidR="00181B7B" w:rsidRPr="00181B7B">
      <w:rPr>
        <w:rFonts w:ascii="Arial" w:hAnsi="Arial" w:cs="Arial"/>
        <w:noProof/>
        <w:sz w:val="20"/>
        <w:szCs w:val="20"/>
        <w:lang w:val="fr-FR"/>
      </w:rPr>
      <w:t>1</w:t>
    </w:r>
    <w:r w:rsidRPr="008947EE">
      <w:rPr>
        <w:rFonts w:ascii="Arial" w:hAnsi="Arial" w:cs="Arial"/>
        <w:sz w:val="20"/>
        <w:szCs w:val="20"/>
      </w:rPr>
      <w:fldChar w:fldCharType="end"/>
    </w:r>
  </w:p>
  <w:p w:rsidR="001F65A1" w:rsidRDefault="001F65A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FF" w:rsidRDefault="00FF4FFF" w:rsidP="00FF530F">
      <w:pPr>
        <w:spacing w:after="0" w:line="240" w:lineRule="auto"/>
      </w:pPr>
      <w:r>
        <w:separator/>
      </w:r>
    </w:p>
  </w:footnote>
  <w:footnote w:type="continuationSeparator" w:id="0">
    <w:p w:rsidR="00FF4FFF" w:rsidRDefault="00FF4FFF" w:rsidP="00FF5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05F"/>
    <w:multiLevelType w:val="hybridMultilevel"/>
    <w:tmpl w:val="C1428298"/>
    <w:lvl w:ilvl="0" w:tplc="C21637C4">
      <w:start w:val="1"/>
      <w:numFmt w:val="decimal"/>
      <w:lvlText w:val="%1."/>
      <w:lvlJc w:val="left"/>
      <w:pPr>
        <w:ind w:left="1278" w:hanging="57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1D089A"/>
    <w:multiLevelType w:val="hybridMultilevel"/>
    <w:tmpl w:val="7F462ADA"/>
    <w:lvl w:ilvl="0" w:tplc="67A20744">
      <w:start w:val="1"/>
      <w:numFmt w:val="lowerRoman"/>
      <w:lvlText w:val="(%1)"/>
      <w:lvlJc w:val="left"/>
      <w:pPr>
        <w:ind w:left="1440" w:hanging="360"/>
      </w:pPr>
      <w:rPr>
        <w:rFonts w:ascii="Times New Roman" w:eastAsia="SimSu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7C2FFF"/>
    <w:multiLevelType w:val="hybridMultilevel"/>
    <w:tmpl w:val="3320CC36"/>
    <w:lvl w:ilvl="0" w:tplc="5C964E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1B60D1"/>
    <w:multiLevelType w:val="hybridMultilevel"/>
    <w:tmpl w:val="E28CB270"/>
    <w:lvl w:ilvl="0" w:tplc="4B5EB32A">
      <w:start w:val="1"/>
      <w:numFmt w:val="decimal"/>
      <w:lvlText w:val="%1."/>
      <w:lvlJc w:val="left"/>
      <w:pPr>
        <w:ind w:left="1278" w:hanging="57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4"/>
  </w:num>
  <w:num w:numId="6">
    <w:abstractNumId w:val="9"/>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1FAC"/>
    <w:rsid w:val="0002273C"/>
    <w:rsid w:val="00057B77"/>
    <w:rsid w:val="000622AA"/>
    <w:rsid w:val="00074324"/>
    <w:rsid w:val="000762ED"/>
    <w:rsid w:val="000901E4"/>
    <w:rsid w:val="000B041C"/>
    <w:rsid w:val="000C363F"/>
    <w:rsid w:val="000C5397"/>
    <w:rsid w:val="000F1E3C"/>
    <w:rsid w:val="000F5978"/>
    <w:rsid w:val="0010111B"/>
    <w:rsid w:val="00105A01"/>
    <w:rsid w:val="00164A6F"/>
    <w:rsid w:val="00181B7B"/>
    <w:rsid w:val="001A6A33"/>
    <w:rsid w:val="001B2D5E"/>
    <w:rsid w:val="001C2999"/>
    <w:rsid w:val="001F65A1"/>
    <w:rsid w:val="0025232A"/>
    <w:rsid w:val="002646B7"/>
    <w:rsid w:val="00270430"/>
    <w:rsid w:val="002719FF"/>
    <w:rsid w:val="0027387E"/>
    <w:rsid w:val="002750A4"/>
    <w:rsid w:val="002851C5"/>
    <w:rsid w:val="002E49B2"/>
    <w:rsid w:val="002F0ADB"/>
    <w:rsid w:val="002F3B16"/>
    <w:rsid w:val="003041A3"/>
    <w:rsid w:val="003056B7"/>
    <w:rsid w:val="00314B37"/>
    <w:rsid w:val="0032654C"/>
    <w:rsid w:val="003B556F"/>
    <w:rsid w:val="003B708D"/>
    <w:rsid w:val="003F5E23"/>
    <w:rsid w:val="00441945"/>
    <w:rsid w:val="00457E34"/>
    <w:rsid w:val="00495E9F"/>
    <w:rsid w:val="004A1E95"/>
    <w:rsid w:val="004A79E2"/>
    <w:rsid w:val="004D7FBA"/>
    <w:rsid w:val="004F411F"/>
    <w:rsid w:val="005969DE"/>
    <w:rsid w:val="005B5C56"/>
    <w:rsid w:val="00602A2B"/>
    <w:rsid w:val="0063326A"/>
    <w:rsid w:val="00642DF7"/>
    <w:rsid w:val="00665F5D"/>
    <w:rsid w:val="00674C66"/>
    <w:rsid w:val="00676324"/>
    <w:rsid w:val="006A2D66"/>
    <w:rsid w:val="006B26F1"/>
    <w:rsid w:val="006F58DD"/>
    <w:rsid w:val="00707FA5"/>
    <w:rsid w:val="00722F72"/>
    <w:rsid w:val="007265A3"/>
    <w:rsid w:val="00726753"/>
    <w:rsid w:val="00752348"/>
    <w:rsid w:val="00787E1A"/>
    <w:rsid w:val="007942C7"/>
    <w:rsid w:val="007A5379"/>
    <w:rsid w:val="007F3CD2"/>
    <w:rsid w:val="0080255B"/>
    <w:rsid w:val="00810483"/>
    <w:rsid w:val="00814A11"/>
    <w:rsid w:val="00827D6C"/>
    <w:rsid w:val="00835FB4"/>
    <w:rsid w:val="00860178"/>
    <w:rsid w:val="00865944"/>
    <w:rsid w:val="008947EE"/>
    <w:rsid w:val="008C48B2"/>
    <w:rsid w:val="008C7B0E"/>
    <w:rsid w:val="008D2E3F"/>
    <w:rsid w:val="008F4CC4"/>
    <w:rsid w:val="00906414"/>
    <w:rsid w:val="00923989"/>
    <w:rsid w:val="009278CA"/>
    <w:rsid w:val="00930B6D"/>
    <w:rsid w:val="00935366"/>
    <w:rsid w:val="009477B0"/>
    <w:rsid w:val="00947E69"/>
    <w:rsid w:val="0095339C"/>
    <w:rsid w:val="00957D98"/>
    <w:rsid w:val="009604FF"/>
    <w:rsid w:val="00993F0B"/>
    <w:rsid w:val="009964F5"/>
    <w:rsid w:val="009A3788"/>
    <w:rsid w:val="009B7C0E"/>
    <w:rsid w:val="009C0799"/>
    <w:rsid w:val="009C5532"/>
    <w:rsid w:val="009D3856"/>
    <w:rsid w:val="00A36743"/>
    <w:rsid w:val="00A55124"/>
    <w:rsid w:val="00A63AE6"/>
    <w:rsid w:val="00AF6FB8"/>
    <w:rsid w:val="00B01934"/>
    <w:rsid w:val="00B03BD1"/>
    <w:rsid w:val="00B17A6D"/>
    <w:rsid w:val="00B30D88"/>
    <w:rsid w:val="00B30E78"/>
    <w:rsid w:val="00B44224"/>
    <w:rsid w:val="00B56ED7"/>
    <w:rsid w:val="00B71A09"/>
    <w:rsid w:val="00BB6D4C"/>
    <w:rsid w:val="00BE348C"/>
    <w:rsid w:val="00BE66B7"/>
    <w:rsid w:val="00C00C43"/>
    <w:rsid w:val="00C05F8E"/>
    <w:rsid w:val="00C24E93"/>
    <w:rsid w:val="00C27AFC"/>
    <w:rsid w:val="00C46DFC"/>
    <w:rsid w:val="00C539B2"/>
    <w:rsid w:val="00C57178"/>
    <w:rsid w:val="00C977A4"/>
    <w:rsid w:val="00CB2C82"/>
    <w:rsid w:val="00CD74A7"/>
    <w:rsid w:val="00CE4A99"/>
    <w:rsid w:val="00CE7012"/>
    <w:rsid w:val="00D00C76"/>
    <w:rsid w:val="00D226E6"/>
    <w:rsid w:val="00D23A2C"/>
    <w:rsid w:val="00D25B4D"/>
    <w:rsid w:val="00D32DF3"/>
    <w:rsid w:val="00D752D4"/>
    <w:rsid w:val="00D76F21"/>
    <w:rsid w:val="00DC4316"/>
    <w:rsid w:val="00E02A9D"/>
    <w:rsid w:val="00E072B7"/>
    <w:rsid w:val="00E3772A"/>
    <w:rsid w:val="00E429C1"/>
    <w:rsid w:val="00E51EC9"/>
    <w:rsid w:val="00E82AA4"/>
    <w:rsid w:val="00E842D2"/>
    <w:rsid w:val="00E93021"/>
    <w:rsid w:val="00E9329A"/>
    <w:rsid w:val="00EA1384"/>
    <w:rsid w:val="00EA1C90"/>
    <w:rsid w:val="00EA3868"/>
    <w:rsid w:val="00EB2727"/>
    <w:rsid w:val="00EF4E81"/>
    <w:rsid w:val="00F065E0"/>
    <w:rsid w:val="00F13AE2"/>
    <w:rsid w:val="00F15F71"/>
    <w:rsid w:val="00F238BD"/>
    <w:rsid w:val="00F27547"/>
    <w:rsid w:val="00F579FE"/>
    <w:rsid w:val="00F60E44"/>
    <w:rsid w:val="00F81C17"/>
    <w:rsid w:val="00F826AC"/>
    <w:rsid w:val="00F82B87"/>
    <w:rsid w:val="00F901CB"/>
    <w:rsid w:val="00F90DDE"/>
    <w:rsid w:val="00F97F75"/>
    <w:rsid w:val="00FA24A9"/>
    <w:rsid w:val="00FB2BC6"/>
    <w:rsid w:val="00FC2511"/>
    <w:rsid w:val="00FD540F"/>
    <w:rsid w:val="00FE28CF"/>
    <w:rsid w:val="00FF4FFF"/>
    <w:rsid w:val="00FF530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val="x-none" w:eastAsia="x-none"/>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noProof/>
      <w:sz w:val="28"/>
      <w:szCs w:val="28"/>
      <w:lang w:val="x-none"/>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lang w:val="x-none"/>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Notedebasdepage">
    <w:name w:val="footnote text"/>
    <w:basedOn w:val="Normal"/>
    <w:link w:val="NotedebasdepageCar"/>
    <w:uiPriority w:val="99"/>
    <w:semiHidden/>
    <w:unhideWhenUsed/>
    <w:rsid w:val="00FF530F"/>
    <w:pPr>
      <w:spacing w:after="0" w:line="240" w:lineRule="auto"/>
    </w:pPr>
    <w:rPr>
      <w:sz w:val="20"/>
      <w:szCs w:val="20"/>
      <w:lang w:val="fr-FR"/>
    </w:rPr>
  </w:style>
  <w:style w:type="character" w:customStyle="1" w:styleId="NotedebasdepageCar">
    <w:name w:val="Note de bas de page Car"/>
    <w:link w:val="Notedebasdepage"/>
    <w:uiPriority w:val="99"/>
    <w:semiHidden/>
    <w:rsid w:val="00FF530F"/>
    <w:rPr>
      <w:lang w:val="fr-FR" w:eastAsia="en-US"/>
    </w:rPr>
  </w:style>
  <w:style w:type="character" w:styleId="Appelnotedebasdep">
    <w:name w:val="footnote reference"/>
    <w:unhideWhenUsed/>
    <w:rsid w:val="00FF530F"/>
    <w:rPr>
      <w:vertAlign w:val="superscript"/>
    </w:rPr>
  </w:style>
  <w:style w:type="paragraph" w:styleId="En-tte">
    <w:name w:val="header"/>
    <w:basedOn w:val="Normal"/>
    <w:link w:val="En-tteCar"/>
    <w:uiPriority w:val="99"/>
    <w:unhideWhenUsed/>
    <w:rsid w:val="001F65A1"/>
    <w:pPr>
      <w:tabs>
        <w:tab w:val="center" w:pos="4536"/>
        <w:tab w:val="right" w:pos="9072"/>
      </w:tabs>
    </w:pPr>
    <w:rPr>
      <w:lang w:val="x-none"/>
    </w:rPr>
  </w:style>
  <w:style w:type="character" w:customStyle="1" w:styleId="En-tteCar">
    <w:name w:val="En-tête Car"/>
    <w:link w:val="En-tte"/>
    <w:uiPriority w:val="99"/>
    <w:rsid w:val="001F65A1"/>
    <w:rPr>
      <w:sz w:val="22"/>
      <w:szCs w:val="22"/>
      <w:lang w:eastAsia="en-US"/>
    </w:rPr>
  </w:style>
  <w:style w:type="paragraph" w:styleId="Pieddepage">
    <w:name w:val="footer"/>
    <w:basedOn w:val="Normal"/>
    <w:link w:val="PieddepageCar"/>
    <w:uiPriority w:val="99"/>
    <w:unhideWhenUsed/>
    <w:rsid w:val="001F65A1"/>
    <w:pPr>
      <w:tabs>
        <w:tab w:val="center" w:pos="4536"/>
        <w:tab w:val="right" w:pos="9072"/>
      </w:tabs>
    </w:pPr>
    <w:rPr>
      <w:lang w:val="x-none"/>
    </w:rPr>
  </w:style>
  <w:style w:type="character" w:customStyle="1" w:styleId="PieddepageCar">
    <w:name w:val="Pied de page Car"/>
    <w:link w:val="Pieddepage"/>
    <w:uiPriority w:val="99"/>
    <w:rsid w:val="001F65A1"/>
    <w:rPr>
      <w:sz w:val="22"/>
      <w:szCs w:val="22"/>
      <w:lang w:eastAsia="en-US"/>
    </w:rPr>
  </w:style>
  <w:style w:type="character" w:styleId="Marquedecommentaire">
    <w:name w:val="annotation reference"/>
    <w:uiPriority w:val="99"/>
    <w:semiHidden/>
    <w:unhideWhenUsed/>
    <w:rsid w:val="00FD540F"/>
    <w:rPr>
      <w:sz w:val="16"/>
      <w:szCs w:val="16"/>
    </w:rPr>
  </w:style>
  <w:style w:type="paragraph" w:styleId="Textedebulles">
    <w:name w:val="Balloon Text"/>
    <w:basedOn w:val="Normal"/>
    <w:link w:val="TextedebullesCar"/>
    <w:uiPriority w:val="99"/>
    <w:semiHidden/>
    <w:unhideWhenUsed/>
    <w:rsid w:val="00FD540F"/>
    <w:pPr>
      <w:spacing w:after="0" w:line="240" w:lineRule="auto"/>
    </w:pPr>
    <w:rPr>
      <w:rFonts w:ascii="Segoe UI" w:hAnsi="Segoe UI"/>
      <w:sz w:val="18"/>
      <w:szCs w:val="18"/>
      <w:lang w:eastAsia="x-none"/>
    </w:rPr>
  </w:style>
  <w:style w:type="character" w:customStyle="1" w:styleId="TextedebullesCar">
    <w:name w:val="Texte de bulles Car"/>
    <w:link w:val="Textedebulles"/>
    <w:uiPriority w:val="99"/>
    <w:semiHidden/>
    <w:rsid w:val="00FD540F"/>
    <w:rPr>
      <w:rFonts w:ascii="Segoe UI" w:hAnsi="Segoe UI" w:cs="Segoe UI"/>
      <w:sz w:val="18"/>
      <w:szCs w:val="18"/>
      <w:lang w:val="fr-LU"/>
    </w:rPr>
  </w:style>
  <w:style w:type="character" w:styleId="Lienhypertexte">
    <w:name w:val="Hyperlink"/>
    <w:uiPriority w:val="99"/>
    <w:unhideWhenUsed/>
    <w:rsid w:val="00665F5D"/>
    <w:rPr>
      <w:strike w:val="0"/>
      <w:dstrike w:val="0"/>
      <w:color w:val="33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5DDAA0-22F0-41BA-95A3-C8CBD433500A}">
  <ds:schemaRefs>
    <ds:schemaRef ds:uri="http://schemas.openxmlformats.org/officeDocument/2006/bibliography"/>
  </ds:schemaRefs>
</ds:datastoreItem>
</file>

<file path=customXml/itemProps2.xml><?xml version="1.0" encoding="utf-8"?>
<ds:datastoreItem xmlns:ds="http://schemas.openxmlformats.org/officeDocument/2006/customXml" ds:itemID="{1B05B5B8-8EE5-418E-94A0-83246687C063}"/>
</file>

<file path=customXml/itemProps3.xml><?xml version="1.0" encoding="utf-8"?>
<ds:datastoreItem xmlns:ds="http://schemas.openxmlformats.org/officeDocument/2006/customXml" ds:itemID="{BBF66A44-A05B-43A4-831B-96303367F17C}"/>
</file>

<file path=customXml/itemProps4.xml><?xml version="1.0" encoding="utf-8"?>
<ds:datastoreItem xmlns:ds="http://schemas.openxmlformats.org/officeDocument/2006/customXml" ds:itemID="{CF114508-0D21-4A34-A639-B279380BEC83}"/>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1749</Characters>
  <Application>Microsoft Office Word</Application>
  <DocSecurity>4</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cp:lastModifiedBy/>
  <cp:revision>1</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