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7E" w:rsidRPr="00B55E7E" w:rsidRDefault="00D752D4" w:rsidP="00161002">
      <w:pPr>
        <w:spacing w:after="0" w:line="240" w:lineRule="auto"/>
        <w:jc w:val="both"/>
        <w:rPr>
          <w:rFonts w:ascii="Arial" w:hAnsi="Arial" w:cs="Arial"/>
          <w:b/>
        </w:rPr>
      </w:pPr>
      <w:bookmarkStart w:id="0" w:name="_GoBack"/>
      <w:bookmarkEnd w:id="0"/>
      <w:r w:rsidRPr="00B55E7E">
        <w:rPr>
          <w:rFonts w:ascii="Arial" w:hAnsi="Arial" w:cs="Arial"/>
          <w:b/>
          <w:bCs/>
          <w:color w:val="000000"/>
          <w:lang w:val="fr-FR"/>
        </w:rPr>
        <w:t>Projet de loi</w:t>
      </w:r>
      <w:r w:rsidR="00470BBE" w:rsidRPr="00B55E7E">
        <w:rPr>
          <w:rFonts w:ascii="Arial" w:hAnsi="Arial" w:cs="Arial"/>
          <w:b/>
          <w:bCs/>
          <w:color w:val="000000"/>
          <w:lang w:val="fr-FR"/>
        </w:rPr>
        <w:t xml:space="preserve"> </w:t>
      </w:r>
      <w:r w:rsidR="00161002">
        <w:rPr>
          <w:rFonts w:ascii="Arial" w:hAnsi="Arial" w:cs="Arial"/>
          <w:b/>
          <w:bCs/>
          <w:color w:val="000000"/>
          <w:lang w:val="fr-FR"/>
        </w:rPr>
        <w:t xml:space="preserve">7230 </w:t>
      </w:r>
      <w:r w:rsidR="00B55E7E" w:rsidRPr="00B55E7E">
        <w:rPr>
          <w:rFonts w:ascii="Arial" w:hAnsi="Arial" w:cs="Arial"/>
          <w:b/>
        </w:rPr>
        <w:t>portant organisation de l’Administration de l’enregistrement, des domaines et de la TVA et modifiant</w:t>
      </w:r>
    </w:p>
    <w:p w:rsidR="00B55E7E" w:rsidRPr="00B55E7E" w:rsidRDefault="00B55E7E" w:rsidP="00161002">
      <w:pPr>
        <w:spacing w:after="0" w:line="240" w:lineRule="auto"/>
        <w:jc w:val="both"/>
        <w:rPr>
          <w:rFonts w:ascii="Arial" w:hAnsi="Arial" w:cs="Arial"/>
          <w:b/>
        </w:rPr>
      </w:pPr>
      <w:r w:rsidRPr="00B55E7E">
        <w:rPr>
          <w:rFonts w:ascii="Arial" w:hAnsi="Arial" w:cs="Arial"/>
          <w:b/>
        </w:rPr>
        <w:t>1° la loi modifiée du 22 frimaire an VII organique de l’enregistrement ;</w:t>
      </w:r>
    </w:p>
    <w:p w:rsidR="00B55E7E" w:rsidRPr="00B55E7E" w:rsidRDefault="00B55E7E" w:rsidP="00161002">
      <w:pPr>
        <w:spacing w:after="0" w:line="240" w:lineRule="auto"/>
        <w:jc w:val="both"/>
        <w:rPr>
          <w:rFonts w:ascii="Arial" w:hAnsi="Arial" w:cs="Arial"/>
          <w:b/>
        </w:rPr>
      </w:pPr>
      <w:r w:rsidRPr="00B55E7E">
        <w:rPr>
          <w:rFonts w:ascii="Arial" w:hAnsi="Arial" w:cs="Arial"/>
          <w:b/>
        </w:rPr>
        <w:t>2° la loi modifiée du 28 janvier 1948 tendant à assurer la juste et exacte perception des droits d’enregistrement et de succession ;</w:t>
      </w:r>
    </w:p>
    <w:p w:rsidR="00161F7F" w:rsidRPr="00B55E7E" w:rsidRDefault="00B55E7E" w:rsidP="00161002">
      <w:pPr>
        <w:pStyle w:val="Paragraphedeliste"/>
        <w:spacing w:after="0" w:line="240" w:lineRule="auto"/>
        <w:ind w:left="0"/>
        <w:rPr>
          <w:rFonts w:cs="Arial"/>
          <w:b/>
          <w:sz w:val="22"/>
          <w:lang w:val="fr-FR"/>
        </w:rPr>
      </w:pPr>
      <w:r w:rsidRPr="00B55E7E">
        <w:rPr>
          <w:rFonts w:cs="Arial"/>
          <w:b/>
          <w:sz w:val="22"/>
        </w:rPr>
        <w:t>3° la loi modifiée du 25 mars 2015 fixant le régime des traitements et les conditions et modalités d’avancement des fonctionnaires de l’Etat</w:t>
      </w:r>
    </w:p>
    <w:p w:rsidR="00161002" w:rsidRDefault="00161002" w:rsidP="00161002">
      <w:pPr>
        <w:spacing w:after="0" w:line="240" w:lineRule="auto"/>
        <w:jc w:val="both"/>
        <w:rPr>
          <w:rFonts w:ascii="Arial" w:hAnsi="Arial" w:cs="Arial"/>
          <w:lang w:val="fr-CH"/>
        </w:rPr>
      </w:pPr>
    </w:p>
    <w:p w:rsidR="00C23C1E" w:rsidRPr="00C23C1E" w:rsidRDefault="00C23C1E" w:rsidP="00161002">
      <w:pPr>
        <w:spacing w:after="0" w:line="240" w:lineRule="auto"/>
        <w:jc w:val="both"/>
        <w:rPr>
          <w:rFonts w:ascii="Arial" w:hAnsi="Arial" w:cs="Arial"/>
          <w:lang w:val="fr-CH"/>
        </w:rPr>
      </w:pPr>
      <w:r w:rsidRPr="00C23C1E">
        <w:rPr>
          <w:rFonts w:ascii="Arial" w:hAnsi="Arial" w:cs="Arial"/>
          <w:lang w:val="fr-CH"/>
        </w:rPr>
        <w:t>Le projet de loi sous rubrique a pour objet de procéder à une refonte de la loi sur l’organisation de l’Administration de l’enregistrement et des domaines.</w:t>
      </w:r>
    </w:p>
    <w:p w:rsidR="00C23C1E" w:rsidRPr="00C23C1E" w:rsidRDefault="00C23C1E" w:rsidP="00C23C1E">
      <w:pPr>
        <w:spacing w:after="0" w:line="240" w:lineRule="auto"/>
        <w:jc w:val="both"/>
        <w:rPr>
          <w:rFonts w:ascii="Arial" w:hAnsi="Arial" w:cs="Arial"/>
          <w:lang w:val="fr-CH"/>
        </w:rPr>
      </w:pPr>
    </w:p>
    <w:p w:rsidR="00C23C1E" w:rsidRPr="00C23C1E" w:rsidRDefault="00C23C1E" w:rsidP="00C23C1E">
      <w:pPr>
        <w:spacing w:after="0" w:line="240" w:lineRule="auto"/>
        <w:jc w:val="both"/>
        <w:rPr>
          <w:rFonts w:ascii="Arial" w:hAnsi="Arial" w:cs="Arial"/>
          <w:lang w:val="fr-CH"/>
        </w:rPr>
      </w:pPr>
      <w:r w:rsidRPr="00C23C1E">
        <w:rPr>
          <w:rFonts w:ascii="Arial" w:hAnsi="Arial" w:cs="Arial"/>
          <w:lang w:val="fr-CH"/>
        </w:rPr>
        <w:t>Suite à la réforme de la fonction publique en 2015, qui a introduit une nouvelle hiérarchisation des carrières, ainsi qu’une nouvelle façon de gestion par objectifs, il s’est produit un décalage entre les exigences d’une administration publique moderne et l’organisation de l’Administration de l’enregistrement et des domaines, telle qu’elle est fixée dans la loi organique modifiée du 20 mars 1970 portant réorganisation de l’administration de l’enregistrement et des domaines.</w:t>
      </w:r>
    </w:p>
    <w:p w:rsidR="00C23C1E" w:rsidRPr="00C23C1E" w:rsidRDefault="00C23C1E" w:rsidP="00C23C1E">
      <w:pPr>
        <w:spacing w:after="0" w:line="240" w:lineRule="auto"/>
        <w:jc w:val="both"/>
        <w:rPr>
          <w:rFonts w:ascii="Arial" w:hAnsi="Arial" w:cs="Arial"/>
          <w:lang w:val="fr-CH"/>
        </w:rPr>
      </w:pPr>
    </w:p>
    <w:p w:rsidR="00C23C1E" w:rsidRPr="00C23C1E" w:rsidRDefault="002A5D3B" w:rsidP="00C23C1E">
      <w:pPr>
        <w:spacing w:after="0" w:line="240" w:lineRule="auto"/>
        <w:jc w:val="both"/>
        <w:rPr>
          <w:rFonts w:ascii="Arial" w:hAnsi="Arial" w:cs="Arial"/>
          <w:lang w:val="fr-CH"/>
        </w:rPr>
      </w:pPr>
      <w:r>
        <w:rPr>
          <w:rFonts w:ascii="Arial" w:hAnsi="Arial" w:cs="Arial"/>
          <w:lang w:val="fr-CH"/>
        </w:rPr>
        <w:t>L</w:t>
      </w:r>
      <w:r w:rsidR="00C23C1E" w:rsidRPr="00C23C1E">
        <w:rPr>
          <w:rFonts w:ascii="Arial" w:hAnsi="Arial" w:cs="Arial"/>
          <w:lang w:val="fr-CH"/>
        </w:rPr>
        <w:t>e présent projet de loi ne se limite pas à la modification de la loi organique précitée en adaptant les références à des concepts qui ont été changés par la réforme de 2015</w:t>
      </w:r>
      <w:r>
        <w:rPr>
          <w:rFonts w:ascii="Arial" w:hAnsi="Arial" w:cs="Arial"/>
          <w:lang w:val="fr-CH"/>
        </w:rPr>
        <w:t>, mais</w:t>
      </w:r>
      <w:r w:rsidR="00C23C1E" w:rsidRPr="00C23C1E">
        <w:rPr>
          <w:rFonts w:ascii="Arial" w:hAnsi="Arial" w:cs="Arial"/>
          <w:lang w:val="fr-CH"/>
        </w:rPr>
        <w:t xml:space="preserve"> les compétences confiées à l’administration</w:t>
      </w:r>
      <w:r>
        <w:rPr>
          <w:rFonts w:ascii="Arial" w:hAnsi="Arial" w:cs="Arial"/>
          <w:lang w:val="fr-CH"/>
        </w:rPr>
        <w:t xml:space="preserve"> ont été actualisées (</w:t>
      </w:r>
      <w:r w:rsidR="00C23C1E" w:rsidRPr="00C23C1E">
        <w:rPr>
          <w:rFonts w:ascii="Arial" w:hAnsi="Arial" w:cs="Arial"/>
          <w:lang w:val="fr-CH"/>
        </w:rPr>
        <w:t>en ce qui concerne par exemple la lutte contre le blanchiment de capitaux et le financement du terrorisme</w:t>
      </w:r>
      <w:r>
        <w:rPr>
          <w:rFonts w:ascii="Arial" w:hAnsi="Arial" w:cs="Arial"/>
          <w:lang w:val="fr-CH"/>
        </w:rPr>
        <w:t>) et</w:t>
      </w:r>
      <w:r w:rsidR="00C23C1E" w:rsidRPr="00C23C1E">
        <w:rPr>
          <w:rFonts w:ascii="Arial" w:hAnsi="Arial" w:cs="Arial"/>
          <w:lang w:val="fr-CH"/>
        </w:rPr>
        <w:t xml:space="preserve"> l’organisation de la direction</w:t>
      </w:r>
      <w:r>
        <w:rPr>
          <w:rFonts w:ascii="Arial" w:hAnsi="Arial" w:cs="Arial"/>
          <w:lang w:val="fr-CH"/>
        </w:rPr>
        <w:t xml:space="preserve"> a été flexibilisée</w:t>
      </w:r>
      <w:r w:rsidR="00C23C1E" w:rsidRPr="00C23C1E">
        <w:rPr>
          <w:rFonts w:ascii="Arial" w:hAnsi="Arial" w:cs="Arial"/>
          <w:lang w:val="fr-CH"/>
        </w:rPr>
        <w:t>.</w:t>
      </w:r>
    </w:p>
    <w:p w:rsidR="00C23C1E" w:rsidRPr="00C23C1E" w:rsidRDefault="00C23C1E" w:rsidP="00C23C1E">
      <w:pPr>
        <w:spacing w:after="0" w:line="240" w:lineRule="auto"/>
        <w:jc w:val="both"/>
        <w:rPr>
          <w:rFonts w:ascii="Arial" w:hAnsi="Arial" w:cs="Arial"/>
          <w:lang w:val="fr-CH"/>
        </w:rPr>
      </w:pPr>
    </w:p>
    <w:p w:rsidR="00C23C1E" w:rsidRPr="00C23C1E" w:rsidRDefault="00C23C1E" w:rsidP="00C23C1E">
      <w:pPr>
        <w:spacing w:after="0" w:line="240" w:lineRule="auto"/>
        <w:jc w:val="both"/>
        <w:rPr>
          <w:rFonts w:ascii="Arial" w:hAnsi="Arial" w:cs="Arial"/>
          <w:lang w:val="fr-CH"/>
        </w:rPr>
      </w:pPr>
      <w:r w:rsidRPr="00C23C1E">
        <w:rPr>
          <w:rFonts w:ascii="Arial" w:hAnsi="Arial" w:cs="Arial"/>
          <w:lang w:val="fr-CH"/>
        </w:rPr>
        <w:t xml:space="preserve">La nouvelle dénomination </w:t>
      </w:r>
      <w:r w:rsidR="002A5D3B">
        <w:rPr>
          <w:rFonts w:ascii="Arial" w:hAnsi="Arial" w:cs="Arial"/>
          <w:lang w:val="fr-CH"/>
        </w:rPr>
        <w:t>de l’Administration, « </w:t>
      </w:r>
      <w:r w:rsidR="002A5D3B" w:rsidRPr="002A5D3B">
        <w:rPr>
          <w:rFonts w:ascii="Arial" w:hAnsi="Arial" w:cs="Arial"/>
          <w:bCs/>
          <w:lang w:val="fr-FR"/>
        </w:rPr>
        <w:t>Administration de l’enregistrement, des domaines et de la TVA</w:t>
      </w:r>
      <w:r w:rsidR="002A5D3B">
        <w:rPr>
          <w:rFonts w:ascii="Arial" w:hAnsi="Arial" w:cs="Arial"/>
          <w:bCs/>
          <w:lang w:val="fr-FR"/>
        </w:rPr>
        <w:t> »</w:t>
      </w:r>
      <w:r w:rsidR="002A5D3B" w:rsidRPr="002A5D3B">
        <w:rPr>
          <w:rFonts w:ascii="Arial" w:hAnsi="Arial" w:cs="Arial"/>
          <w:bCs/>
          <w:lang w:val="fr-FR"/>
        </w:rPr>
        <w:t>,</w:t>
      </w:r>
      <w:r w:rsidR="002A5D3B" w:rsidRPr="00C23C1E">
        <w:rPr>
          <w:rFonts w:ascii="Arial" w:hAnsi="Arial" w:cs="Arial"/>
          <w:lang w:val="fr-CH"/>
        </w:rPr>
        <w:t xml:space="preserve"> </w:t>
      </w:r>
      <w:r w:rsidRPr="00C23C1E">
        <w:rPr>
          <w:rFonts w:ascii="Arial" w:hAnsi="Arial" w:cs="Arial"/>
          <w:lang w:val="fr-CH"/>
        </w:rPr>
        <w:t>reflète le poids de la gestion de la taxe sur la valeur ajoutée (TVA), surtout en vue de la complexité de la matière dans sa dimension communautaire, dans le travail de l’Administration. Ensuite, le projet de loi introduit la fonction de directeur adjoint entre celle de directeur et d</w:t>
      </w:r>
      <w:r>
        <w:rPr>
          <w:rFonts w:ascii="Arial" w:hAnsi="Arial" w:cs="Arial"/>
          <w:lang w:val="fr-CH"/>
        </w:rPr>
        <w:t>e</w:t>
      </w:r>
      <w:r w:rsidRPr="00C23C1E">
        <w:rPr>
          <w:rFonts w:ascii="Arial" w:hAnsi="Arial" w:cs="Arial"/>
          <w:lang w:val="fr-CH"/>
        </w:rPr>
        <w:t xml:space="preserve"> conseiller dans le but de renforcer la hiérarchie interne au niveau de la direction. De même, la fonction de préposé adjoint est créée au niveau des bureaux d’exécution, afin d’assister et de remplacer le préposé dans la gestion du bureau. Finalement, des dispositions sont prévues par le projet de loi qui, d’une part, accroissent l’efficacité de la procédure du recouvrement forcé d’amendes administratives dans une multitude de domaines dans lesquels la législation actuelle dispose de procéder comme en matière d’enregistrement et, d’autre part, apportent une simplification des obligations déclaratives incombant aux agents immobiliers.</w:t>
      </w:r>
    </w:p>
    <w:sectPr w:rsidR="00C23C1E" w:rsidRPr="00C23C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7C" w:rsidRDefault="00882F7C" w:rsidP="008651C0">
      <w:pPr>
        <w:spacing w:after="0" w:line="240" w:lineRule="auto"/>
      </w:pPr>
      <w:r>
        <w:separator/>
      </w:r>
    </w:p>
  </w:endnote>
  <w:endnote w:type="continuationSeparator" w:id="0">
    <w:p w:rsidR="00882F7C" w:rsidRDefault="00882F7C" w:rsidP="0086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6A" w:rsidRPr="008651C0" w:rsidRDefault="006C6B6A">
    <w:pPr>
      <w:pStyle w:val="Pieddepage"/>
      <w:jc w:val="center"/>
      <w:rPr>
        <w:rFonts w:ascii="Arial" w:hAnsi="Arial" w:cs="Arial"/>
        <w:sz w:val="20"/>
        <w:szCs w:val="20"/>
      </w:rPr>
    </w:pPr>
    <w:r w:rsidRPr="008651C0">
      <w:rPr>
        <w:rFonts w:ascii="Arial" w:hAnsi="Arial" w:cs="Arial"/>
        <w:sz w:val="20"/>
        <w:szCs w:val="20"/>
      </w:rPr>
      <w:fldChar w:fldCharType="begin"/>
    </w:r>
    <w:r w:rsidRPr="008651C0">
      <w:rPr>
        <w:rFonts w:ascii="Arial" w:hAnsi="Arial" w:cs="Arial"/>
        <w:sz w:val="20"/>
        <w:szCs w:val="20"/>
      </w:rPr>
      <w:instrText>PAGE   \* MERGEFORMAT</w:instrText>
    </w:r>
    <w:r w:rsidRPr="008651C0">
      <w:rPr>
        <w:rFonts w:ascii="Arial" w:hAnsi="Arial" w:cs="Arial"/>
        <w:sz w:val="20"/>
        <w:szCs w:val="20"/>
      </w:rPr>
      <w:fldChar w:fldCharType="separate"/>
    </w:r>
    <w:r w:rsidR="006D73DC" w:rsidRPr="006D73DC">
      <w:rPr>
        <w:rFonts w:ascii="Arial" w:hAnsi="Arial" w:cs="Arial"/>
        <w:noProof/>
        <w:sz w:val="20"/>
        <w:szCs w:val="20"/>
        <w:lang w:val="fr-FR"/>
      </w:rPr>
      <w:t>1</w:t>
    </w:r>
    <w:r w:rsidRPr="008651C0">
      <w:rPr>
        <w:rFonts w:ascii="Arial" w:hAnsi="Arial" w:cs="Arial"/>
        <w:sz w:val="20"/>
        <w:szCs w:val="20"/>
      </w:rPr>
      <w:fldChar w:fldCharType="end"/>
    </w:r>
  </w:p>
  <w:p w:rsidR="006C6B6A" w:rsidRDefault="006C6B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7C" w:rsidRDefault="00882F7C" w:rsidP="008651C0">
      <w:pPr>
        <w:spacing w:after="0" w:line="240" w:lineRule="auto"/>
      </w:pPr>
      <w:r>
        <w:separator/>
      </w:r>
    </w:p>
  </w:footnote>
  <w:footnote w:type="continuationSeparator" w:id="0">
    <w:p w:rsidR="00882F7C" w:rsidRDefault="00882F7C" w:rsidP="00865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42686C"/>
    <w:multiLevelType w:val="hybridMultilevel"/>
    <w:tmpl w:val="A3823A9C"/>
    <w:lvl w:ilvl="0" w:tplc="140C000F">
      <w:start w:val="1"/>
      <w:numFmt w:val="decimal"/>
      <w:lvlText w:val="%1."/>
      <w:lvlJc w:val="left"/>
      <w:pPr>
        <w:ind w:left="1077" w:hanging="360"/>
      </w:pPr>
    </w:lvl>
    <w:lvl w:ilvl="1" w:tplc="140C0019">
      <w:start w:val="1"/>
      <w:numFmt w:val="lowerLetter"/>
      <w:lvlText w:val="%2."/>
      <w:lvlJc w:val="left"/>
      <w:pPr>
        <w:ind w:left="1797" w:hanging="360"/>
      </w:pPr>
    </w:lvl>
    <w:lvl w:ilvl="2" w:tplc="140C001B" w:tentative="1">
      <w:start w:val="1"/>
      <w:numFmt w:val="lowerRoman"/>
      <w:lvlText w:val="%3."/>
      <w:lvlJc w:val="right"/>
      <w:pPr>
        <w:ind w:left="2517" w:hanging="180"/>
      </w:pPr>
    </w:lvl>
    <w:lvl w:ilvl="3" w:tplc="140C000F" w:tentative="1">
      <w:start w:val="1"/>
      <w:numFmt w:val="decimal"/>
      <w:lvlText w:val="%4."/>
      <w:lvlJc w:val="left"/>
      <w:pPr>
        <w:ind w:left="3237" w:hanging="360"/>
      </w:pPr>
    </w:lvl>
    <w:lvl w:ilvl="4" w:tplc="140C0019" w:tentative="1">
      <w:start w:val="1"/>
      <w:numFmt w:val="lowerLetter"/>
      <w:lvlText w:val="%5."/>
      <w:lvlJc w:val="left"/>
      <w:pPr>
        <w:ind w:left="3957" w:hanging="360"/>
      </w:pPr>
    </w:lvl>
    <w:lvl w:ilvl="5" w:tplc="140C001B" w:tentative="1">
      <w:start w:val="1"/>
      <w:numFmt w:val="lowerRoman"/>
      <w:lvlText w:val="%6."/>
      <w:lvlJc w:val="right"/>
      <w:pPr>
        <w:ind w:left="4677" w:hanging="180"/>
      </w:pPr>
    </w:lvl>
    <w:lvl w:ilvl="6" w:tplc="140C000F" w:tentative="1">
      <w:start w:val="1"/>
      <w:numFmt w:val="decimal"/>
      <w:lvlText w:val="%7."/>
      <w:lvlJc w:val="left"/>
      <w:pPr>
        <w:ind w:left="5397" w:hanging="360"/>
      </w:pPr>
    </w:lvl>
    <w:lvl w:ilvl="7" w:tplc="140C0019" w:tentative="1">
      <w:start w:val="1"/>
      <w:numFmt w:val="lowerLetter"/>
      <w:lvlText w:val="%8."/>
      <w:lvlJc w:val="left"/>
      <w:pPr>
        <w:ind w:left="6117" w:hanging="360"/>
      </w:pPr>
    </w:lvl>
    <w:lvl w:ilvl="8" w:tplc="140C001B" w:tentative="1">
      <w:start w:val="1"/>
      <w:numFmt w:val="lowerRoman"/>
      <w:lvlText w:val="%9."/>
      <w:lvlJc w:val="right"/>
      <w:pPr>
        <w:ind w:left="6837" w:hanging="180"/>
      </w:pPr>
    </w:lvl>
  </w:abstractNum>
  <w:abstractNum w:abstractNumId="2" w15:restartNumberingAfterBreak="0">
    <w:nsid w:val="327F6045"/>
    <w:multiLevelType w:val="hybridMultilevel"/>
    <w:tmpl w:val="88AEF33E"/>
    <w:lvl w:ilvl="0" w:tplc="BA6EC2A4">
      <w:numFmt w:val="bullet"/>
      <w:lvlText w:val="-"/>
      <w:lvlJc w:val="left"/>
      <w:pPr>
        <w:ind w:left="720" w:hanging="360"/>
      </w:pPr>
      <w:rPr>
        <w:rFonts w:ascii="Bookman Old Style" w:eastAsia="Times New Roman" w:hAnsi="Bookman Old Style"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4C06AE7"/>
    <w:multiLevelType w:val="hybridMultilevel"/>
    <w:tmpl w:val="EC7C14A6"/>
    <w:lvl w:ilvl="0" w:tplc="ED767996">
      <w:start w:val="1"/>
      <w:numFmt w:val="decimal"/>
      <w:lvlText w:val="(%1)"/>
      <w:lvlJc w:val="left"/>
      <w:pPr>
        <w:ind w:left="360" w:hanging="360"/>
      </w:pPr>
      <w:rPr>
        <w:rFonts w:eastAsia="Calibri" w:cs="Times New Roman"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4"/>
  </w:num>
  <w:num w:numId="6">
    <w:abstractNumId w:val="8"/>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56DAE"/>
    <w:rsid w:val="000746F7"/>
    <w:rsid w:val="000762ED"/>
    <w:rsid w:val="000F5294"/>
    <w:rsid w:val="0010111B"/>
    <w:rsid w:val="0014078E"/>
    <w:rsid w:val="00140F72"/>
    <w:rsid w:val="00151AFC"/>
    <w:rsid w:val="00161002"/>
    <w:rsid w:val="00161F7F"/>
    <w:rsid w:val="002536A0"/>
    <w:rsid w:val="002750A4"/>
    <w:rsid w:val="002851C5"/>
    <w:rsid w:val="002A5D3B"/>
    <w:rsid w:val="002F0ADB"/>
    <w:rsid w:val="002F2AA3"/>
    <w:rsid w:val="002F3B16"/>
    <w:rsid w:val="0039061A"/>
    <w:rsid w:val="003E7E8B"/>
    <w:rsid w:val="003F5E23"/>
    <w:rsid w:val="00457E34"/>
    <w:rsid w:val="00470BBE"/>
    <w:rsid w:val="00475895"/>
    <w:rsid w:val="00495E9F"/>
    <w:rsid w:val="004C2FA1"/>
    <w:rsid w:val="0050095B"/>
    <w:rsid w:val="005579F5"/>
    <w:rsid w:val="005B5C56"/>
    <w:rsid w:val="006C6B6A"/>
    <w:rsid w:val="006D73DC"/>
    <w:rsid w:val="006E42F5"/>
    <w:rsid w:val="00702925"/>
    <w:rsid w:val="007265A3"/>
    <w:rsid w:val="00752348"/>
    <w:rsid w:val="007942C7"/>
    <w:rsid w:val="007D5362"/>
    <w:rsid w:val="0084013F"/>
    <w:rsid w:val="00860178"/>
    <w:rsid w:val="008651C0"/>
    <w:rsid w:val="00882F7C"/>
    <w:rsid w:val="008F2DFB"/>
    <w:rsid w:val="00901DA7"/>
    <w:rsid w:val="00902838"/>
    <w:rsid w:val="009278CA"/>
    <w:rsid w:val="00976BF9"/>
    <w:rsid w:val="009C0799"/>
    <w:rsid w:val="009D3856"/>
    <w:rsid w:val="009D5D7C"/>
    <w:rsid w:val="00A63AE6"/>
    <w:rsid w:val="00AB31D4"/>
    <w:rsid w:val="00B0377B"/>
    <w:rsid w:val="00B03BD1"/>
    <w:rsid w:val="00B0612A"/>
    <w:rsid w:val="00B55E7E"/>
    <w:rsid w:val="00B850A1"/>
    <w:rsid w:val="00BB22A2"/>
    <w:rsid w:val="00C21B4E"/>
    <w:rsid w:val="00C23C1E"/>
    <w:rsid w:val="00C24E93"/>
    <w:rsid w:val="00C83693"/>
    <w:rsid w:val="00CA6C5D"/>
    <w:rsid w:val="00CD5C56"/>
    <w:rsid w:val="00CE7012"/>
    <w:rsid w:val="00D752D4"/>
    <w:rsid w:val="00E01C97"/>
    <w:rsid w:val="00E02A9D"/>
    <w:rsid w:val="00E03E38"/>
    <w:rsid w:val="00E072B7"/>
    <w:rsid w:val="00E212AE"/>
    <w:rsid w:val="00E842D2"/>
    <w:rsid w:val="00E93021"/>
    <w:rsid w:val="00EB2727"/>
    <w:rsid w:val="00F15F71"/>
    <w:rsid w:val="00F60E44"/>
    <w:rsid w:val="00F8509A"/>
    <w:rsid w:val="00FC2511"/>
    <w:rsid w:val="00FF70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D74698-3FC5-463D-888F-9D7E398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8651C0"/>
    <w:pPr>
      <w:tabs>
        <w:tab w:val="center" w:pos="4536"/>
        <w:tab w:val="right" w:pos="9072"/>
      </w:tabs>
    </w:pPr>
  </w:style>
  <w:style w:type="character" w:customStyle="1" w:styleId="En-tteCar">
    <w:name w:val="En-tête Car"/>
    <w:link w:val="En-tte"/>
    <w:uiPriority w:val="99"/>
    <w:rsid w:val="008651C0"/>
    <w:rPr>
      <w:sz w:val="22"/>
      <w:szCs w:val="22"/>
      <w:lang w:eastAsia="en-US"/>
    </w:rPr>
  </w:style>
  <w:style w:type="paragraph" w:styleId="Pieddepage">
    <w:name w:val="footer"/>
    <w:basedOn w:val="Normal"/>
    <w:link w:val="PieddepageCar"/>
    <w:uiPriority w:val="99"/>
    <w:unhideWhenUsed/>
    <w:rsid w:val="008651C0"/>
    <w:pPr>
      <w:tabs>
        <w:tab w:val="center" w:pos="4536"/>
        <w:tab w:val="right" w:pos="9072"/>
      </w:tabs>
    </w:pPr>
  </w:style>
  <w:style w:type="character" w:customStyle="1" w:styleId="PieddepageCar">
    <w:name w:val="Pied de page Car"/>
    <w:link w:val="Pieddepage"/>
    <w:uiPriority w:val="99"/>
    <w:rsid w:val="008651C0"/>
    <w:rPr>
      <w:sz w:val="22"/>
      <w:szCs w:val="22"/>
      <w:lang w:eastAsia="en-US"/>
    </w:rPr>
  </w:style>
  <w:style w:type="paragraph" w:styleId="Notedebasdepage">
    <w:name w:val="footnote text"/>
    <w:basedOn w:val="Normal"/>
    <w:link w:val="NotedebasdepageCar"/>
    <w:uiPriority w:val="99"/>
    <w:unhideWhenUsed/>
    <w:rsid w:val="000F5294"/>
    <w:pPr>
      <w:spacing w:after="0" w:line="240" w:lineRule="auto"/>
    </w:pPr>
    <w:rPr>
      <w:sz w:val="20"/>
      <w:szCs w:val="20"/>
    </w:rPr>
  </w:style>
  <w:style w:type="character" w:customStyle="1" w:styleId="NotedebasdepageCar">
    <w:name w:val="Note de bas de page Car"/>
    <w:link w:val="Notedebasdepage"/>
    <w:uiPriority w:val="99"/>
    <w:rsid w:val="000F5294"/>
    <w:rPr>
      <w:lang w:eastAsia="en-US"/>
    </w:rPr>
  </w:style>
  <w:style w:type="character" w:styleId="Appelnotedebasdep">
    <w:name w:val="footnote reference"/>
    <w:uiPriority w:val="99"/>
    <w:unhideWhenUsed/>
    <w:rsid w:val="000F5294"/>
    <w:rPr>
      <w:vertAlign w:val="superscript"/>
    </w:rPr>
  </w:style>
  <w:style w:type="paragraph" w:styleId="Textedebulles">
    <w:name w:val="Balloon Text"/>
    <w:basedOn w:val="Normal"/>
    <w:link w:val="TextedebullesCar"/>
    <w:uiPriority w:val="99"/>
    <w:semiHidden/>
    <w:unhideWhenUsed/>
    <w:rsid w:val="000F529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F52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33D65F-13E5-494F-A19D-F912603F45D3}"/>
</file>

<file path=customXml/itemProps2.xml><?xml version="1.0" encoding="utf-8"?>
<ds:datastoreItem xmlns:ds="http://schemas.openxmlformats.org/officeDocument/2006/customXml" ds:itemID="{511A5E99-D4E0-4524-8EC7-5E060FD5D7EA}"/>
</file>

<file path=customXml/itemProps3.xml><?xml version="1.0" encoding="utf-8"?>
<ds:datastoreItem xmlns:ds="http://schemas.openxmlformats.org/officeDocument/2006/customXml" ds:itemID="{9FF0586B-ECDE-4619-9F81-BE0AFA99A12C}"/>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2018-07-18T09:54:00Z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