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37" w:rsidRPr="00160C34" w:rsidRDefault="00A417B0" w:rsidP="00C93037">
      <w:pPr>
        <w:widowControl w:val="0"/>
        <w:spacing w:after="0" w:line="240" w:lineRule="auto"/>
        <w:jc w:val="both"/>
        <w:outlineLvl w:val="1"/>
        <w:rPr>
          <w:rFonts w:ascii="Arial" w:hAnsi="Arial" w:cs="Arial"/>
          <w:b/>
          <w:bCs/>
        </w:rPr>
      </w:pPr>
      <w:bookmarkStart w:id="0" w:name="_GoBack"/>
      <w:bookmarkEnd w:id="0"/>
      <w:r w:rsidRPr="00160C34">
        <w:rPr>
          <w:rFonts w:ascii="Arial" w:hAnsi="Arial" w:cs="Arial"/>
          <w:b/>
        </w:rPr>
        <w:t>Projet de loi portant transposition de l’article 31 de la 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tel que modifié par la directive (UE) 2018/843 du Parlement européen et du Conseil du 30 mai 2018 modifiant la directive (UE) 2015/849 relative à la prévention de l’utilisation du système financier aux fins du blanchiment de capitaux ou du financement du terrorisme ainsi que les directives 2009/138/CE et 2013/36/UE</w:t>
      </w:r>
    </w:p>
    <w:p w:rsidR="0002273C" w:rsidRPr="007E2E31" w:rsidRDefault="0002273C" w:rsidP="00160C34">
      <w:pPr>
        <w:pStyle w:val="Body"/>
        <w:rPr>
          <w:rFonts w:ascii="Arial" w:eastAsia="Arial" w:hAnsi="Arial" w:cs="Arial"/>
          <w:b/>
          <w:bCs/>
          <w:sz w:val="22"/>
          <w:szCs w:val="22"/>
        </w:rPr>
      </w:pPr>
    </w:p>
    <w:p w:rsidR="007E0D54" w:rsidRPr="00491932" w:rsidRDefault="007E0D54" w:rsidP="007E0D54">
      <w:pPr>
        <w:spacing w:after="0"/>
        <w:jc w:val="both"/>
        <w:rPr>
          <w:rFonts w:ascii="Arial" w:hAnsi="Arial" w:cs="Arial"/>
          <w:lang w:val="fr-CH"/>
        </w:rPr>
      </w:pPr>
      <w:r w:rsidRPr="00491932">
        <w:rPr>
          <w:rFonts w:ascii="Arial" w:hAnsi="Arial" w:cs="Arial"/>
          <w:lang w:val="fr-CH"/>
        </w:rPr>
        <w:t xml:space="preserve">Le présent projet de loi s’inscrit dans la lignée de la réglementation européenne sur la prévention de l’utilisation du système financier aux fins du blanchiment de capitaux ou du financement du terrorisme. </w:t>
      </w:r>
    </w:p>
    <w:p w:rsidR="007E0D54" w:rsidRPr="00491932" w:rsidRDefault="007E0D54" w:rsidP="007E0D54">
      <w:pPr>
        <w:spacing w:after="0"/>
        <w:jc w:val="both"/>
        <w:rPr>
          <w:rFonts w:ascii="Arial" w:hAnsi="Arial" w:cs="Arial"/>
          <w:lang w:val="fr-CH"/>
        </w:rPr>
      </w:pPr>
    </w:p>
    <w:p w:rsidR="007E0D54" w:rsidRPr="00491932" w:rsidRDefault="007E0D54" w:rsidP="007E0D54">
      <w:pPr>
        <w:spacing w:after="0"/>
        <w:jc w:val="both"/>
        <w:rPr>
          <w:rFonts w:ascii="Arial" w:hAnsi="Arial" w:cs="Arial"/>
          <w:lang w:val="fr-CH"/>
        </w:rPr>
      </w:pPr>
      <w:r w:rsidRPr="00491932">
        <w:rPr>
          <w:rFonts w:ascii="Arial" w:hAnsi="Arial" w:cs="Arial"/>
          <w:lang w:val="fr-CH"/>
        </w:rPr>
        <w:t>L’objet du projet de loi est de transposer l’entièreté de l’article 31 de la directive (UE) 2015/849 du Parlement européen et du Conseil du 20 mai 2015 relative à la prévention de l’utilisation du système financier aux fins du blanchiment de capitaux ou du financement du terrorisme, tel qu’amendé par l’article 1</w:t>
      </w:r>
      <w:r w:rsidRPr="00491932">
        <w:rPr>
          <w:rFonts w:ascii="Arial" w:hAnsi="Arial" w:cs="Arial"/>
          <w:vertAlign w:val="superscript"/>
          <w:lang w:val="fr-CH"/>
        </w:rPr>
        <w:t>er</w:t>
      </w:r>
      <w:r w:rsidRPr="00491932">
        <w:rPr>
          <w:rFonts w:ascii="Arial" w:hAnsi="Arial" w:cs="Arial"/>
          <w:lang w:val="fr-CH"/>
        </w:rPr>
        <w:t>, point 16, de la directive (UE) 2018/843 du Parlement européen et du Conseil du 30 mai 2018 modifiant la directive (UE) 2015/849 relative à la prévention de l’utilisation du système financier aux fins du blanchiment de capitaux ou du financement du terrorisme. Le projet de loi tient également compte de la recommandation 25 du Groupe d’action financière (GAFI) relative à la transparence et aux bénéficiaires effectifs des constructions juridiques.</w:t>
      </w:r>
    </w:p>
    <w:p w:rsidR="007E0D54" w:rsidRPr="00491932" w:rsidRDefault="007E0D54" w:rsidP="007E0D54">
      <w:pPr>
        <w:spacing w:after="0"/>
        <w:jc w:val="both"/>
        <w:rPr>
          <w:rFonts w:ascii="Arial" w:hAnsi="Arial" w:cs="Arial"/>
          <w:lang w:val="fr-CH"/>
        </w:rPr>
      </w:pPr>
    </w:p>
    <w:p w:rsidR="007E0D54" w:rsidRPr="00491932" w:rsidRDefault="007E0D54" w:rsidP="007E0D54">
      <w:pPr>
        <w:spacing w:after="0"/>
        <w:jc w:val="both"/>
        <w:rPr>
          <w:rFonts w:ascii="Arial" w:hAnsi="Arial" w:cs="Arial"/>
          <w:lang w:val="fr-CH"/>
        </w:rPr>
      </w:pPr>
      <w:r w:rsidRPr="00491932">
        <w:rPr>
          <w:rFonts w:ascii="Arial" w:hAnsi="Arial" w:cs="Arial"/>
          <w:lang w:val="fr-CH"/>
        </w:rPr>
        <w:t>L’article 31 de la directive (UE) 2015/849 a déjà fait l’objet d’une transposition partielle par la loi du 10 août 2018 relative aux informations à obtenir et à conserver par les fiduciaires.</w:t>
      </w:r>
    </w:p>
    <w:p w:rsidR="007E0D54" w:rsidRPr="00491932" w:rsidRDefault="007E0D54" w:rsidP="007E0D54">
      <w:pPr>
        <w:spacing w:after="0"/>
        <w:jc w:val="both"/>
        <w:rPr>
          <w:rFonts w:ascii="Arial" w:hAnsi="Arial" w:cs="Arial"/>
          <w:lang w:val="fr-CH"/>
        </w:rPr>
      </w:pPr>
      <w:r w:rsidRPr="00491932">
        <w:rPr>
          <w:rFonts w:ascii="Arial" w:hAnsi="Arial" w:cs="Arial"/>
          <w:lang w:val="fr-CH"/>
        </w:rPr>
        <w:t xml:space="preserve">Afin de ne pas disposer de deux lois distinctes </w:t>
      </w:r>
      <w:r w:rsidR="00160C34" w:rsidRPr="00491932">
        <w:rPr>
          <w:rFonts w:ascii="Arial" w:hAnsi="Arial" w:cs="Arial"/>
          <w:lang w:val="fr-CH"/>
        </w:rPr>
        <w:t>qui transposent l’article 31 de la directive (UE) 2015/849</w:t>
      </w:r>
      <w:r w:rsidR="00160C34">
        <w:rPr>
          <w:rFonts w:ascii="Arial" w:hAnsi="Arial" w:cs="Arial"/>
          <w:lang w:val="fr-CH"/>
        </w:rPr>
        <w:t xml:space="preserve"> </w:t>
      </w:r>
      <w:r w:rsidRPr="00491932">
        <w:rPr>
          <w:rFonts w:ascii="Arial" w:hAnsi="Arial" w:cs="Arial"/>
          <w:lang w:val="fr-CH"/>
        </w:rPr>
        <w:t>au niveau national, il est proposé d’abroger la loi du 10 août 2018 et d’insérer les dispositions auparavant contenues dans la loi du 10 août 2018 dans ce projet de loi tout en prenant compte des modifications apportées par la directive (UE) 2018/843 aux dispositions de la loi susmentionnée.</w:t>
      </w:r>
    </w:p>
    <w:p w:rsidR="007E0D54" w:rsidRPr="00491932" w:rsidRDefault="007E0D54" w:rsidP="007E0D54">
      <w:pPr>
        <w:spacing w:after="0"/>
        <w:jc w:val="both"/>
        <w:rPr>
          <w:rFonts w:ascii="Arial" w:hAnsi="Arial" w:cs="Arial"/>
          <w:lang w:val="fr-CH"/>
        </w:rPr>
      </w:pPr>
    </w:p>
    <w:p w:rsidR="007E0D54" w:rsidRPr="00491932" w:rsidRDefault="007E0D54" w:rsidP="007E0D54">
      <w:pPr>
        <w:spacing w:after="0"/>
        <w:jc w:val="both"/>
        <w:rPr>
          <w:rFonts w:ascii="Arial" w:hAnsi="Arial" w:cs="Arial"/>
          <w:lang w:val="fr-CH"/>
        </w:rPr>
      </w:pPr>
      <w:r w:rsidRPr="00491932">
        <w:rPr>
          <w:rFonts w:ascii="Arial" w:hAnsi="Arial" w:cs="Arial"/>
          <w:lang w:val="fr-CH"/>
        </w:rPr>
        <w:t>Le projet de loi comporte plusieurs volets.</w:t>
      </w:r>
    </w:p>
    <w:p w:rsidR="007E0D54" w:rsidRPr="00491932" w:rsidRDefault="007E0D54" w:rsidP="007E0D54">
      <w:pPr>
        <w:spacing w:after="0"/>
        <w:jc w:val="both"/>
        <w:rPr>
          <w:rFonts w:ascii="Arial" w:hAnsi="Arial" w:cs="Arial"/>
          <w:lang w:val="fr-CH"/>
        </w:rPr>
      </w:pPr>
    </w:p>
    <w:p w:rsidR="007E0D54" w:rsidRPr="00491932" w:rsidRDefault="00160C34" w:rsidP="007E0D54">
      <w:pPr>
        <w:spacing w:after="0"/>
        <w:jc w:val="both"/>
        <w:rPr>
          <w:rFonts w:ascii="Arial" w:hAnsi="Arial" w:cs="Arial"/>
          <w:lang w:val="fr-CH"/>
        </w:rPr>
      </w:pPr>
      <w:r>
        <w:rPr>
          <w:rFonts w:ascii="Arial" w:hAnsi="Arial" w:cs="Arial"/>
          <w:lang w:val="fr-CH"/>
        </w:rPr>
        <w:t>Il</w:t>
      </w:r>
      <w:r w:rsidR="007E0D54" w:rsidRPr="00491932">
        <w:rPr>
          <w:rFonts w:ascii="Arial" w:hAnsi="Arial" w:cs="Arial"/>
          <w:lang w:val="fr-CH"/>
        </w:rPr>
        <w:t xml:space="preserve"> prévoit l’obligation pour les fiduciaires et les trustees d’obtenir et de conserver des données relatives aux bénéficiaires effectifs ainsi qu’à d’autres personnes spécifiées dans le projet de loi.</w:t>
      </w:r>
    </w:p>
    <w:p w:rsidR="007E0D54" w:rsidRPr="00491932" w:rsidRDefault="007E0D54" w:rsidP="007E0D54">
      <w:pPr>
        <w:spacing w:after="0"/>
        <w:jc w:val="both"/>
        <w:rPr>
          <w:rFonts w:ascii="Arial" w:hAnsi="Arial" w:cs="Arial"/>
          <w:lang w:val="fr-CH"/>
        </w:rPr>
      </w:pPr>
    </w:p>
    <w:p w:rsidR="007E0D54" w:rsidRPr="00491932" w:rsidRDefault="007E0D54" w:rsidP="007E0D54">
      <w:pPr>
        <w:spacing w:after="0"/>
        <w:jc w:val="both"/>
        <w:rPr>
          <w:rFonts w:ascii="Arial" w:hAnsi="Arial" w:cs="Arial"/>
          <w:lang w:val="fr-CH"/>
        </w:rPr>
      </w:pPr>
      <w:r w:rsidRPr="00491932">
        <w:rPr>
          <w:rFonts w:ascii="Arial" w:hAnsi="Arial" w:cs="Arial"/>
          <w:lang w:val="fr-CH"/>
        </w:rPr>
        <w:t xml:space="preserve">De plus, </w:t>
      </w:r>
      <w:r w:rsidR="00160C34">
        <w:rPr>
          <w:rFonts w:ascii="Arial" w:hAnsi="Arial" w:cs="Arial"/>
          <w:lang w:val="fr-CH"/>
        </w:rPr>
        <w:t>il</w:t>
      </w:r>
      <w:r w:rsidRPr="00491932">
        <w:rPr>
          <w:rFonts w:ascii="Arial" w:hAnsi="Arial" w:cs="Arial"/>
          <w:lang w:val="fr-CH"/>
        </w:rPr>
        <w:t xml:space="preserve"> vise à instaurer un registre des fiducies et des trusts tenu par l’Administration de l’enregistrement, des domaines et de la TVA (AED</w:t>
      </w:r>
      <w:r w:rsidR="00160C34">
        <w:rPr>
          <w:rFonts w:ascii="Arial" w:hAnsi="Arial" w:cs="Arial"/>
          <w:lang w:val="fr-CH"/>
        </w:rPr>
        <w:t>)</w:t>
      </w:r>
      <w:r w:rsidRPr="00491932">
        <w:rPr>
          <w:rFonts w:ascii="Arial" w:hAnsi="Arial" w:cs="Arial"/>
          <w:lang w:val="fr-CH"/>
        </w:rPr>
        <w:t xml:space="preserve"> dans lequel les fiduciaires et les trustees devront inscrire certaines données qu’ils sont obligés de collecter en vertu de la loi en projet.</w:t>
      </w:r>
    </w:p>
    <w:p w:rsidR="007E0D54" w:rsidRPr="00491932" w:rsidRDefault="007E0D54" w:rsidP="007E0D54">
      <w:pPr>
        <w:spacing w:after="0"/>
        <w:jc w:val="both"/>
        <w:rPr>
          <w:rFonts w:ascii="Arial" w:hAnsi="Arial" w:cs="Arial"/>
          <w:lang w:val="fr-CH"/>
        </w:rPr>
      </w:pPr>
    </w:p>
    <w:p w:rsidR="00160C34" w:rsidRDefault="00160C34" w:rsidP="007E0D54">
      <w:pPr>
        <w:spacing w:after="0"/>
        <w:jc w:val="both"/>
        <w:rPr>
          <w:rFonts w:ascii="Arial" w:hAnsi="Arial" w:cs="Arial"/>
          <w:lang w:val="fr-CH"/>
        </w:rPr>
      </w:pPr>
      <w:r>
        <w:rPr>
          <w:rFonts w:ascii="Arial" w:hAnsi="Arial" w:cs="Arial"/>
          <w:lang w:val="fr-CH"/>
        </w:rPr>
        <w:t>L</w:t>
      </w:r>
      <w:r w:rsidR="007E0D54" w:rsidRPr="00491932">
        <w:rPr>
          <w:rFonts w:ascii="Arial" w:hAnsi="Arial" w:cs="Arial"/>
          <w:lang w:val="fr-CH"/>
        </w:rPr>
        <w:t>’accès au registre</w:t>
      </w:r>
      <w:r>
        <w:rPr>
          <w:rFonts w:ascii="Arial" w:hAnsi="Arial" w:cs="Arial"/>
          <w:lang w:val="fr-CH"/>
        </w:rPr>
        <w:t xml:space="preserve"> </w:t>
      </w:r>
      <w:r w:rsidRPr="00491932">
        <w:rPr>
          <w:rFonts w:ascii="Arial" w:hAnsi="Arial" w:cs="Arial"/>
          <w:lang w:val="fr-CH"/>
        </w:rPr>
        <w:t>est également encadr</w:t>
      </w:r>
      <w:r>
        <w:rPr>
          <w:rFonts w:ascii="Arial" w:hAnsi="Arial" w:cs="Arial"/>
          <w:lang w:val="fr-CH"/>
        </w:rPr>
        <w:t xml:space="preserve">é. Il </w:t>
      </w:r>
      <w:r w:rsidR="007E0D54" w:rsidRPr="00491932">
        <w:rPr>
          <w:rFonts w:ascii="Arial" w:hAnsi="Arial" w:cs="Arial"/>
          <w:lang w:val="fr-CH"/>
        </w:rPr>
        <w:t>est réservé aux autorités nationales, aux organismes d’autorégulation dans l’exercice de leur mission de surveillance en matière de lutte contre le blanchiment et contre le financement du terrorisme et aux professionnels</w:t>
      </w:r>
      <w:r w:rsidR="007E0D54" w:rsidRPr="00491932">
        <w:rPr>
          <w:rFonts w:ascii="Arial" w:eastAsia="Times New Roman" w:hAnsi="Arial" w:cs="Arial"/>
          <w:lang w:val="fr-FR" w:eastAsia="en-GB"/>
        </w:rPr>
        <w:t>dans le cadre de l’application des mesures de vigilance à l’égard de la clientèle</w:t>
      </w:r>
      <w:r w:rsidR="007E0D54" w:rsidRPr="00491932">
        <w:rPr>
          <w:rFonts w:ascii="Arial" w:hAnsi="Arial" w:cs="Arial"/>
          <w:lang w:val="fr-CH"/>
        </w:rPr>
        <w:t>.</w:t>
      </w:r>
    </w:p>
    <w:p w:rsidR="007E0D54" w:rsidRPr="00491932" w:rsidRDefault="007E0D54" w:rsidP="007E0D54">
      <w:pPr>
        <w:spacing w:after="0"/>
        <w:jc w:val="both"/>
        <w:rPr>
          <w:rFonts w:ascii="Arial" w:hAnsi="Arial" w:cs="Arial"/>
          <w:lang w:val="fr-CH"/>
        </w:rPr>
      </w:pPr>
    </w:p>
    <w:p w:rsidR="007E0D54" w:rsidRPr="00491932" w:rsidRDefault="007E0D54" w:rsidP="007E0D54">
      <w:pPr>
        <w:spacing w:after="0"/>
        <w:jc w:val="both"/>
        <w:rPr>
          <w:rFonts w:ascii="Arial" w:hAnsi="Arial" w:cs="Arial"/>
          <w:lang w:val="fr-CH"/>
        </w:rPr>
      </w:pPr>
      <w:r w:rsidRPr="00491932">
        <w:rPr>
          <w:rFonts w:ascii="Arial" w:hAnsi="Arial" w:cs="Arial"/>
          <w:lang w:val="fr-CH"/>
        </w:rPr>
        <w:t>L’article 27 du projet de loi ouvre également l’accès, à certaines informations du registre, « </w:t>
      </w:r>
      <w:r w:rsidRPr="00491932">
        <w:rPr>
          <w:rFonts w:ascii="Arial" w:hAnsi="Arial" w:cs="Arial"/>
          <w:i/>
          <w:lang w:val="fr-CH"/>
        </w:rPr>
        <w:t xml:space="preserve">à toute personnes physique ou morale qui démontre un intérêt légitime dans le cadre de la </w:t>
      </w:r>
      <w:r w:rsidRPr="00491932">
        <w:rPr>
          <w:rFonts w:ascii="Arial" w:hAnsi="Arial" w:cs="Arial"/>
          <w:i/>
          <w:lang w:val="fr-CH"/>
        </w:rPr>
        <w:lastRenderedPageBreak/>
        <w:t>prévention de l’utilisation du système financier aux fins de blanchiment ou de financement du terrorisme </w:t>
      </w:r>
      <w:r w:rsidRPr="00491932">
        <w:rPr>
          <w:rFonts w:ascii="Arial" w:hAnsi="Arial" w:cs="Arial"/>
          <w:lang w:val="fr-CH"/>
        </w:rPr>
        <w:t>».</w:t>
      </w:r>
    </w:p>
    <w:p w:rsidR="007E0D54" w:rsidRPr="00491932" w:rsidRDefault="007E0D54" w:rsidP="007E0D54">
      <w:pPr>
        <w:spacing w:after="0"/>
        <w:jc w:val="both"/>
        <w:rPr>
          <w:rFonts w:ascii="Arial" w:hAnsi="Arial" w:cs="Arial"/>
          <w:lang w:val="fr-CH"/>
        </w:rPr>
      </w:pPr>
    </w:p>
    <w:p w:rsidR="007E0D54" w:rsidRPr="00491932" w:rsidRDefault="007E0D54" w:rsidP="007E0D54">
      <w:pPr>
        <w:spacing w:after="0"/>
        <w:jc w:val="both"/>
        <w:rPr>
          <w:rFonts w:ascii="Arial" w:hAnsi="Arial" w:cs="Arial"/>
          <w:lang w:val="fr-CH"/>
        </w:rPr>
      </w:pPr>
      <w:r w:rsidRPr="00491932">
        <w:rPr>
          <w:rFonts w:ascii="Arial" w:hAnsi="Arial" w:cs="Arial"/>
          <w:lang w:val="fr-CH"/>
        </w:rPr>
        <w:t xml:space="preserve">En sus, l’article 32 permet à la Cellule de renseignement financier (CRF), aux autorités de contrôle et aux organismes d’autorégulation de coopérer étroitement et </w:t>
      </w:r>
      <w:r w:rsidRPr="00491932">
        <w:rPr>
          <w:rFonts w:ascii="Arial" w:hAnsi="Arial" w:cs="Arial"/>
          <w:lang w:val="fr-FR"/>
        </w:rPr>
        <w:t>d’échanger entre elles toute information obtenue conformément à la loi en projet qui est nécessaire</w:t>
      </w:r>
      <w:r w:rsidRPr="00491932">
        <w:rPr>
          <w:rFonts w:ascii="Arial" w:hAnsi="Arial" w:cs="Arial"/>
          <w:lang w:val="fr-CH"/>
        </w:rPr>
        <w:t xml:space="preserve"> pour accomplir leurs missions respectives dans le cadre de la lutte contre le blanchiment et contre le financement du terrorisme. De surcroît, le même article donne la possibilité aux autorités de contrôle de coopérer avec leurs autorités homologues étrangères dans le même cadre que celui énoncé ci-dessus.</w:t>
      </w:r>
    </w:p>
    <w:p w:rsidR="007E0D54" w:rsidRPr="00491932" w:rsidRDefault="007E0D54" w:rsidP="007E0D54">
      <w:pPr>
        <w:spacing w:after="0"/>
        <w:jc w:val="both"/>
        <w:rPr>
          <w:rFonts w:ascii="Arial" w:hAnsi="Arial" w:cs="Arial"/>
          <w:lang w:val="fr-CH"/>
        </w:rPr>
      </w:pPr>
    </w:p>
    <w:p w:rsidR="0002273C" w:rsidRPr="00160C34" w:rsidRDefault="007E0D54" w:rsidP="00160C34">
      <w:pPr>
        <w:spacing w:after="0"/>
        <w:jc w:val="both"/>
        <w:rPr>
          <w:rFonts w:ascii="Arial" w:hAnsi="Arial" w:cs="Arial"/>
          <w:lang w:val="fr-CH"/>
        </w:rPr>
      </w:pPr>
      <w:r w:rsidRPr="00491932">
        <w:rPr>
          <w:rFonts w:ascii="Arial" w:hAnsi="Arial" w:cs="Arial"/>
          <w:lang w:val="fr-CH"/>
        </w:rPr>
        <w:t>Finalement, le projet de loi vise à encadrer la coopération européenne en la matière. L’AED se voit doter du pouvoir de rendre possible l’interconnexion du registre des fiducies et des trusts avec les registres institués par les autres États membres par le biais de la plateforme centrale européenne.</w:t>
      </w:r>
    </w:p>
    <w:sectPr w:rsidR="0002273C" w:rsidRPr="00160C3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CBD" w:rsidRDefault="00AD7CBD" w:rsidP="00EA6B89">
      <w:pPr>
        <w:spacing w:after="0" w:line="240" w:lineRule="auto"/>
      </w:pPr>
      <w:r>
        <w:separator/>
      </w:r>
    </w:p>
  </w:endnote>
  <w:endnote w:type="continuationSeparator" w:id="0">
    <w:p w:rsidR="00AD7CBD" w:rsidRDefault="00AD7CBD"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22" w:rsidRPr="00EA6B89" w:rsidRDefault="00C97E22">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9006DA" w:rsidRPr="009006DA">
      <w:rPr>
        <w:rFonts w:ascii="Arial" w:hAnsi="Arial" w:cs="Arial"/>
        <w:noProof/>
        <w:sz w:val="20"/>
        <w:szCs w:val="20"/>
        <w:lang w:val="fr-FR"/>
      </w:rPr>
      <w:t>1</w:t>
    </w:r>
    <w:r w:rsidRPr="00EA6B89">
      <w:rPr>
        <w:rFonts w:ascii="Arial" w:hAnsi="Arial" w:cs="Arial"/>
        <w:sz w:val="20"/>
        <w:szCs w:val="20"/>
      </w:rPr>
      <w:fldChar w:fldCharType="end"/>
    </w:r>
  </w:p>
  <w:p w:rsidR="00C97E22" w:rsidRDefault="00C97E2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CBD" w:rsidRDefault="00AD7CBD" w:rsidP="00EA6B89">
      <w:pPr>
        <w:spacing w:after="0" w:line="240" w:lineRule="auto"/>
      </w:pPr>
      <w:r>
        <w:separator/>
      </w:r>
    </w:p>
  </w:footnote>
  <w:footnote w:type="continuationSeparator" w:id="0">
    <w:p w:rsidR="00AD7CBD" w:rsidRDefault="00AD7CBD"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A87"/>
    <w:multiLevelType w:val="hybridMultilevel"/>
    <w:tmpl w:val="A326666A"/>
    <w:lvl w:ilvl="0" w:tplc="CB1A3FE2">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D1ED8"/>
    <w:multiLevelType w:val="hybridMultilevel"/>
    <w:tmpl w:val="BB8097F2"/>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CA6654F"/>
    <w:multiLevelType w:val="hybridMultilevel"/>
    <w:tmpl w:val="D4126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22F1"/>
    <w:multiLevelType w:val="hybridMultilevel"/>
    <w:tmpl w:val="D3449340"/>
    <w:lvl w:ilvl="0" w:tplc="93DCC41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66CC8"/>
    <w:multiLevelType w:val="hybridMultilevel"/>
    <w:tmpl w:val="847AA2AA"/>
    <w:lvl w:ilvl="0" w:tplc="D5DAC91A">
      <w:start w:val="1"/>
      <w:numFmt w:val="lowerRoman"/>
      <w:lvlText w:val="%1)"/>
      <w:lvlJc w:val="left"/>
      <w:pPr>
        <w:ind w:left="3141" w:hanging="360"/>
      </w:pPr>
      <w:rPr>
        <w:rFonts w:ascii="Arial" w:eastAsia="Calibri"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DC163E"/>
    <w:multiLevelType w:val="hybridMultilevel"/>
    <w:tmpl w:val="70EECE74"/>
    <w:lvl w:ilvl="0" w:tplc="917827B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2CC265E"/>
    <w:multiLevelType w:val="hybridMultilevel"/>
    <w:tmpl w:val="5414E626"/>
    <w:lvl w:ilvl="0" w:tplc="71A43F32">
      <w:start w:val="1"/>
      <w:numFmt w:val="lowerRoman"/>
      <w:lvlText w:val="%1)"/>
      <w:lvlJc w:val="left"/>
      <w:pPr>
        <w:ind w:left="30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D420A2"/>
    <w:multiLevelType w:val="hybridMultilevel"/>
    <w:tmpl w:val="23ACEE4C"/>
    <w:lvl w:ilvl="0" w:tplc="040C000F">
      <w:start w:val="1"/>
      <w:numFmt w:val="decimal"/>
      <w:lvlText w:val="%1."/>
      <w:lvlJc w:val="left"/>
      <w:pPr>
        <w:ind w:left="1635" w:hanging="360"/>
      </w:p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9" w15:restartNumberingAfterBreak="0">
    <w:nsid w:val="306C6BDC"/>
    <w:multiLevelType w:val="hybridMultilevel"/>
    <w:tmpl w:val="71A42F40"/>
    <w:lvl w:ilvl="0" w:tplc="535A3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43D6F"/>
    <w:multiLevelType w:val="hybridMultilevel"/>
    <w:tmpl w:val="BB8097F2"/>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3AF4627A"/>
    <w:multiLevelType w:val="hybridMultilevel"/>
    <w:tmpl w:val="768EB7AA"/>
    <w:lvl w:ilvl="0" w:tplc="25BCEC7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3C1650CD"/>
    <w:multiLevelType w:val="hybridMultilevel"/>
    <w:tmpl w:val="29E6E97A"/>
    <w:lvl w:ilvl="0" w:tplc="040C000F">
      <w:start w:val="1"/>
      <w:numFmt w:val="decimal"/>
      <w:lvlText w:val="%1."/>
      <w:lvlJc w:val="left"/>
      <w:pPr>
        <w:ind w:left="2355" w:hanging="360"/>
      </w:pPr>
    </w:lvl>
    <w:lvl w:ilvl="1" w:tplc="040C0019" w:tentative="1">
      <w:start w:val="1"/>
      <w:numFmt w:val="lowerLetter"/>
      <w:lvlText w:val="%2."/>
      <w:lvlJc w:val="left"/>
      <w:pPr>
        <w:ind w:left="3075" w:hanging="360"/>
      </w:pPr>
    </w:lvl>
    <w:lvl w:ilvl="2" w:tplc="040C001B" w:tentative="1">
      <w:start w:val="1"/>
      <w:numFmt w:val="lowerRoman"/>
      <w:lvlText w:val="%3."/>
      <w:lvlJc w:val="right"/>
      <w:pPr>
        <w:ind w:left="3795" w:hanging="180"/>
      </w:pPr>
    </w:lvl>
    <w:lvl w:ilvl="3" w:tplc="040C000F" w:tentative="1">
      <w:start w:val="1"/>
      <w:numFmt w:val="decimal"/>
      <w:lvlText w:val="%4."/>
      <w:lvlJc w:val="left"/>
      <w:pPr>
        <w:ind w:left="4515" w:hanging="360"/>
      </w:pPr>
    </w:lvl>
    <w:lvl w:ilvl="4" w:tplc="040C0019" w:tentative="1">
      <w:start w:val="1"/>
      <w:numFmt w:val="lowerLetter"/>
      <w:lvlText w:val="%5."/>
      <w:lvlJc w:val="left"/>
      <w:pPr>
        <w:ind w:left="5235" w:hanging="360"/>
      </w:pPr>
    </w:lvl>
    <w:lvl w:ilvl="5" w:tplc="040C001B" w:tentative="1">
      <w:start w:val="1"/>
      <w:numFmt w:val="lowerRoman"/>
      <w:lvlText w:val="%6."/>
      <w:lvlJc w:val="right"/>
      <w:pPr>
        <w:ind w:left="5955" w:hanging="180"/>
      </w:pPr>
    </w:lvl>
    <w:lvl w:ilvl="6" w:tplc="040C000F" w:tentative="1">
      <w:start w:val="1"/>
      <w:numFmt w:val="decimal"/>
      <w:lvlText w:val="%7."/>
      <w:lvlJc w:val="left"/>
      <w:pPr>
        <w:ind w:left="6675" w:hanging="360"/>
      </w:pPr>
    </w:lvl>
    <w:lvl w:ilvl="7" w:tplc="040C0019" w:tentative="1">
      <w:start w:val="1"/>
      <w:numFmt w:val="lowerLetter"/>
      <w:lvlText w:val="%8."/>
      <w:lvlJc w:val="left"/>
      <w:pPr>
        <w:ind w:left="7395" w:hanging="360"/>
      </w:pPr>
    </w:lvl>
    <w:lvl w:ilvl="8" w:tplc="040C001B" w:tentative="1">
      <w:start w:val="1"/>
      <w:numFmt w:val="lowerRoman"/>
      <w:lvlText w:val="%9."/>
      <w:lvlJc w:val="right"/>
      <w:pPr>
        <w:ind w:left="8115" w:hanging="180"/>
      </w:pPr>
    </w:lvl>
  </w:abstractNum>
  <w:abstractNum w:abstractNumId="13" w15:restartNumberingAfterBreak="0">
    <w:nsid w:val="3EBC6189"/>
    <w:multiLevelType w:val="multilevel"/>
    <w:tmpl w:val="3D8A3EE8"/>
    <w:styleLink w:val="APL"/>
    <w:lvl w:ilvl="0">
      <w:start w:val="2"/>
      <w:numFmt w:val="decimal"/>
      <w:lvlText w:val="Amendement %1."/>
      <w:lvlJc w:val="center"/>
      <w:pPr>
        <w:ind w:left="567" w:hanging="113"/>
      </w:pPr>
      <w:rPr>
        <w:rFonts w:ascii="Arial" w:hAnsi="Arial" w:hint="default"/>
        <w:b/>
        <w:i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4" w15:restartNumberingAfterBreak="0">
    <w:nsid w:val="414D6AA0"/>
    <w:multiLevelType w:val="hybridMultilevel"/>
    <w:tmpl w:val="AB382022"/>
    <w:lvl w:ilvl="0" w:tplc="4F06F6F0">
      <w:start w:val="1"/>
      <w:numFmt w:val="lowerLetter"/>
      <w:lvlText w:val="%1)"/>
      <w:lvlJc w:val="left"/>
      <w:pPr>
        <w:ind w:left="720" w:hanging="360"/>
      </w:pPr>
      <w:rPr>
        <w:rFonts w:ascii="Calibri" w:eastAsia="Times New Roman" w:hAnsi="Calibri" w:cs="Arial"/>
      </w:rPr>
    </w:lvl>
    <w:lvl w:ilvl="1" w:tplc="D9FE80F6">
      <w:start w:val="1"/>
      <w:numFmt w:val="lowerRoman"/>
      <w:lvlText w:val="%2."/>
      <w:lvlJc w:val="left"/>
      <w:pPr>
        <w:ind w:left="3054" w:hanging="360"/>
      </w:pPr>
      <w:rPr>
        <w:rFonts w:ascii="Calibri" w:eastAsia="Times New Roman" w:hAnsi="Calibri" w:cs="Arial"/>
      </w:rPr>
    </w:lvl>
    <w:lvl w:ilvl="2" w:tplc="E828CF58">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68249C"/>
    <w:multiLevelType w:val="hybridMultilevel"/>
    <w:tmpl w:val="BB8097F2"/>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 w15:restartNumberingAfterBreak="0">
    <w:nsid w:val="53830EFD"/>
    <w:multiLevelType w:val="multilevel"/>
    <w:tmpl w:val="FD3457DE"/>
    <w:styleLink w:val="numrationenparagraphes2"/>
    <w:lvl w:ilvl="0">
      <w:start w:val="1"/>
      <w:numFmt w:val="decimal"/>
      <w:lvlText w:val="(%1)"/>
      <w:lvlJc w:val="left"/>
      <w:pPr>
        <w:ind w:left="709" w:hanging="567"/>
      </w:pPr>
      <w:rPr>
        <w:rFonts w:ascii="Gill Sans MT" w:hAnsi="Gill Sans MT" w:hint="default"/>
        <w:sz w:val="20"/>
      </w:rPr>
    </w:lvl>
    <w:lvl w:ilvl="1">
      <w:start w:val="1"/>
      <w:numFmt w:val="lowerLetter"/>
      <w:lvlText w:val="%2)"/>
      <w:lvlJc w:val="left"/>
      <w:pPr>
        <w:ind w:left="1163" w:hanging="453"/>
      </w:pPr>
      <w:rPr>
        <w:rFonts w:hint="default"/>
      </w:rPr>
    </w:lvl>
    <w:lvl w:ilvl="2">
      <w:start w:val="1"/>
      <w:numFmt w:val="lowerRoman"/>
      <w:lvlText w:val="%3)"/>
      <w:lvlJc w:val="right"/>
      <w:pPr>
        <w:ind w:left="1531" w:hanging="227"/>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7"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66150100"/>
    <w:multiLevelType w:val="hybridMultilevel"/>
    <w:tmpl w:val="F24AB6D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BDB0C8D"/>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6F524D"/>
    <w:multiLevelType w:val="hybridMultilevel"/>
    <w:tmpl w:val="DA8E335C"/>
    <w:lvl w:ilvl="0" w:tplc="A92CA8C2">
      <w:start w:val="1"/>
      <w:numFmt w:val="lowerLetter"/>
      <w:lvlText w:val="%1)"/>
      <w:lvlJc w:val="left"/>
      <w:pPr>
        <w:ind w:left="1495" w:hanging="360"/>
      </w:pPr>
      <w:rPr>
        <w:rFonts w:ascii="Arial" w:eastAsia="Times New Roman" w:hAnsi="Arial" w:cs="Arial" w:hint="default"/>
      </w:rPr>
    </w:lvl>
    <w:lvl w:ilvl="1" w:tplc="D9FE80F6">
      <w:start w:val="1"/>
      <w:numFmt w:val="lowerRoman"/>
      <w:lvlText w:val="%2."/>
      <w:lvlJc w:val="left"/>
      <w:pPr>
        <w:ind w:left="3829" w:hanging="360"/>
      </w:pPr>
      <w:rPr>
        <w:rFonts w:ascii="Calibri" w:eastAsia="Times New Roman" w:hAnsi="Calibri" w:cs="Arial"/>
      </w:r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num w:numId="1">
    <w:abstractNumId w:val="17"/>
  </w:num>
  <w:num w:numId="2">
    <w:abstractNumId w:val="5"/>
  </w:num>
  <w:num w:numId="3">
    <w:abstractNumId w:val="18"/>
  </w:num>
  <w:num w:numId="4">
    <w:abstractNumId w:val="13"/>
  </w:num>
  <w:num w:numId="5">
    <w:abstractNumId w:val="16"/>
  </w:num>
  <w:num w:numId="6">
    <w:abstractNumId w:val="15"/>
  </w:num>
  <w:num w:numId="7">
    <w:abstractNumId w:val="1"/>
  </w:num>
  <w:num w:numId="8">
    <w:abstractNumId w:val="3"/>
  </w:num>
  <w:num w:numId="9">
    <w:abstractNumId w:val="2"/>
  </w:num>
  <w:num w:numId="10">
    <w:abstractNumId w:val="19"/>
  </w:num>
  <w:num w:numId="11">
    <w:abstractNumId w:val="9"/>
  </w:num>
  <w:num w:numId="12">
    <w:abstractNumId w:val="14"/>
  </w:num>
  <w:num w:numId="13">
    <w:abstractNumId w:val="8"/>
  </w:num>
  <w:num w:numId="14">
    <w:abstractNumId w:val="11"/>
  </w:num>
  <w:num w:numId="15">
    <w:abstractNumId w:val="12"/>
  </w:num>
  <w:num w:numId="16">
    <w:abstractNumId w:val="21"/>
  </w:num>
  <w:num w:numId="17">
    <w:abstractNumId w:val="7"/>
  </w:num>
  <w:num w:numId="18">
    <w:abstractNumId w:val="4"/>
  </w:num>
  <w:num w:numId="19">
    <w:abstractNumId w:val="20"/>
  </w:num>
  <w:num w:numId="20">
    <w:abstractNumId w:val="10"/>
  </w:num>
  <w:num w:numId="21">
    <w:abstractNumId w:val="0"/>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273C"/>
    <w:rsid w:val="00023B8B"/>
    <w:rsid w:val="00026778"/>
    <w:rsid w:val="0003265A"/>
    <w:rsid w:val="00036F9E"/>
    <w:rsid w:val="000426A3"/>
    <w:rsid w:val="000448F9"/>
    <w:rsid w:val="000477BD"/>
    <w:rsid w:val="000762ED"/>
    <w:rsid w:val="00081D4E"/>
    <w:rsid w:val="000824C3"/>
    <w:rsid w:val="0010111B"/>
    <w:rsid w:val="00136B26"/>
    <w:rsid w:val="00156840"/>
    <w:rsid w:val="0015795D"/>
    <w:rsid w:val="00160C34"/>
    <w:rsid w:val="001800F4"/>
    <w:rsid w:val="001A1313"/>
    <w:rsid w:val="001C1665"/>
    <w:rsid w:val="001D304D"/>
    <w:rsid w:val="001F0B11"/>
    <w:rsid w:val="001F7136"/>
    <w:rsid w:val="002010DC"/>
    <w:rsid w:val="0021454F"/>
    <w:rsid w:val="00224919"/>
    <w:rsid w:val="00244018"/>
    <w:rsid w:val="00254489"/>
    <w:rsid w:val="0026214E"/>
    <w:rsid w:val="002B77BA"/>
    <w:rsid w:val="002E6C41"/>
    <w:rsid w:val="002F0ADB"/>
    <w:rsid w:val="002F3B16"/>
    <w:rsid w:val="00327651"/>
    <w:rsid w:val="00331B4C"/>
    <w:rsid w:val="00336012"/>
    <w:rsid w:val="003A403A"/>
    <w:rsid w:val="003F5E23"/>
    <w:rsid w:val="00426C1A"/>
    <w:rsid w:val="00431B15"/>
    <w:rsid w:val="00432698"/>
    <w:rsid w:val="00445FD4"/>
    <w:rsid w:val="0049052E"/>
    <w:rsid w:val="00495E9F"/>
    <w:rsid w:val="004B24AE"/>
    <w:rsid w:val="004D57C4"/>
    <w:rsid w:val="004F22FB"/>
    <w:rsid w:val="005141A9"/>
    <w:rsid w:val="00546FE6"/>
    <w:rsid w:val="005A4C9B"/>
    <w:rsid w:val="005B5C56"/>
    <w:rsid w:val="00614974"/>
    <w:rsid w:val="00615780"/>
    <w:rsid w:val="006177A4"/>
    <w:rsid w:val="00647F03"/>
    <w:rsid w:val="006820B9"/>
    <w:rsid w:val="006A3C61"/>
    <w:rsid w:val="006A5B97"/>
    <w:rsid w:val="006B69B6"/>
    <w:rsid w:val="00715931"/>
    <w:rsid w:val="007265A3"/>
    <w:rsid w:val="007942C7"/>
    <w:rsid w:val="007E0D54"/>
    <w:rsid w:val="007E2E31"/>
    <w:rsid w:val="00814C7A"/>
    <w:rsid w:val="00820EC8"/>
    <w:rsid w:val="0083739C"/>
    <w:rsid w:val="0085149F"/>
    <w:rsid w:val="00853C25"/>
    <w:rsid w:val="00860178"/>
    <w:rsid w:val="008D3C47"/>
    <w:rsid w:val="008F1E2D"/>
    <w:rsid w:val="009006DA"/>
    <w:rsid w:val="0092279C"/>
    <w:rsid w:val="00924264"/>
    <w:rsid w:val="009278CA"/>
    <w:rsid w:val="00935540"/>
    <w:rsid w:val="00942D3E"/>
    <w:rsid w:val="00962A7C"/>
    <w:rsid w:val="00967850"/>
    <w:rsid w:val="00980F22"/>
    <w:rsid w:val="009C64C1"/>
    <w:rsid w:val="009D3856"/>
    <w:rsid w:val="009E5446"/>
    <w:rsid w:val="009F698C"/>
    <w:rsid w:val="00A04277"/>
    <w:rsid w:val="00A31A25"/>
    <w:rsid w:val="00A33DCF"/>
    <w:rsid w:val="00A417B0"/>
    <w:rsid w:val="00A63AE6"/>
    <w:rsid w:val="00AA2BD5"/>
    <w:rsid w:val="00AB1A09"/>
    <w:rsid w:val="00AB228C"/>
    <w:rsid w:val="00AC149A"/>
    <w:rsid w:val="00AD3800"/>
    <w:rsid w:val="00AD7CBD"/>
    <w:rsid w:val="00AE0C53"/>
    <w:rsid w:val="00AE2AA8"/>
    <w:rsid w:val="00B12EB5"/>
    <w:rsid w:val="00B23BB3"/>
    <w:rsid w:val="00B33563"/>
    <w:rsid w:val="00B578A7"/>
    <w:rsid w:val="00B7155D"/>
    <w:rsid w:val="00B8614B"/>
    <w:rsid w:val="00B95D43"/>
    <w:rsid w:val="00BA6043"/>
    <w:rsid w:val="00BA650A"/>
    <w:rsid w:val="00BC3727"/>
    <w:rsid w:val="00BC5B53"/>
    <w:rsid w:val="00BE18DA"/>
    <w:rsid w:val="00C05B55"/>
    <w:rsid w:val="00C37E26"/>
    <w:rsid w:val="00C55FCB"/>
    <w:rsid w:val="00C83850"/>
    <w:rsid w:val="00C93037"/>
    <w:rsid w:val="00C93A25"/>
    <w:rsid w:val="00C97E22"/>
    <w:rsid w:val="00CD252E"/>
    <w:rsid w:val="00CE7012"/>
    <w:rsid w:val="00D0546B"/>
    <w:rsid w:val="00D13F1C"/>
    <w:rsid w:val="00D234FE"/>
    <w:rsid w:val="00D329C6"/>
    <w:rsid w:val="00D70F0B"/>
    <w:rsid w:val="00D752D4"/>
    <w:rsid w:val="00D958DC"/>
    <w:rsid w:val="00E02A9D"/>
    <w:rsid w:val="00E072B7"/>
    <w:rsid w:val="00E15DC7"/>
    <w:rsid w:val="00E423E2"/>
    <w:rsid w:val="00E45BE2"/>
    <w:rsid w:val="00E74D3A"/>
    <w:rsid w:val="00E8245E"/>
    <w:rsid w:val="00E842D2"/>
    <w:rsid w:val="00E93021"/>
    <w:rsid w:val="00EA6B89"/>
    <w:rsid w:val="00EB2727"/>
    <w:rsid w:val="00EC34D0"/>
    <w:rsid w:val="00F073A8"/>
    <w:rsid w:val="00F12E16"/>
    <w:rsid w:val="00F17F6A"/>
    <w:rsid w:val="00F55485"/>
    <w:rsid w:val="00F60E44"/>
    <w:rsid w:val="00F72345"/>
    <w:rsid w:val="00F92F78"/>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1E97AA-0851-4E76-B9EC-F7495DB7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4F22FB"/>
    <w:pPr>
      <w:keepNext/>
      <w:keepLines/>
      <w:spacing w:before="240" w:after="240"/>
      <w:jc w:val="center"/>
      <w:outlineLvl w:val="0"/>
    </w:pPr>
    <w:rPr>
      <w:rFonts w:ascii="Arial" w:eastAsia="Times New Roman" w:hAnsi="Arial"/>
      <w:b/>
      <w:caps/>
      <w:szCs w:val="32"/>
      <w:lang w:val="en-US"/>
    </w:rPr>
  </w:style>
  <w:style w:type="paragraph" w:styleId="Titre2">
    <w:name w:val="heading 2"/>
    <w:basedOn w:val="Normal"/>
    <w:next w:val="Normal"/>
    <w:link w:val="Titre2Car"/>
    <w:uiPriority w:val="9"/>
    <w:qFormat/>
    <w:rsid w:val="004F22FB"/>
    <w:pPr>
      <w:keepNext/>
      <w:keepLines/>
      <w:spacing w:before="240" w:after="240"/>
      <w:outlineLvl w:val="1"/>
    </w:pPr>
    <w:rPr>
      <w:rFonts w:ascii="Arial" w:eastAsia="Times New Roman" w:hAnsi="Arial"/>
      <w:b/>
      <w:szCs w:val="26"/>
      <w:lang w:val="en-US"/>
    </w:rPr>
  </w:style>
  <w:style w:type="paragraph" w:styleId="Titre3">
    <w:name w:val="heading 3"/>
    <w:basedOn w:val="Normal"/>
    <w:next w:val="Normal"/>
    <w:link w:val="Titre3Car"/>
    <w:uiPriority w:val="9"/>
    <w:qFormat/>
    <w:rsid w:val="004F22FB"/>
    <w:pPr>
      <w:keepNext/>
      <w:keepLines/>
      <w:spacing w:before="160"/>
      <w:outlineLvl w:val="2"/>
    </w:pPr>
    <w:rPr>
      <w:rFonts w:ascii="Arial" w:eastAsia="Times New Roman" w:hAnsi="Arial"/>
      <w:i/>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rmalWeb">
    <w:name w:val="Normal (Web)"/>
    <w:basedOn w:val="Normal"/>
    <w:uiPriority w:val="99"/>
    <w:unhideWhenUsed/>
    <w:rsid w:val="00B33563"/>
    <w:pPr>
      <w:spacing w:before="100" w:beforeAutospacing="1" w:after="100" w:afterAutospacing="1" w:line="240" w:lineRule="auto"/>
    </w:pPr>
    <w:rPr>
      <w:rFonts w:ascii="Times New Roman" w:eastAsia="Times New Roman" w:hAnsi="Times New Roman"/>
      <w:sz w:val="24"/>
      <w:szCs w:val="24"/>
      <w:lang w:val="fr-LU" w:eastAsia="en-GB"/>
    </w:rPr>
  </w:style>
  <w:style w:type="character" w:styleId="Marquedecommentaire">
    <w:name w:val="annotation reference"/>
    <w:uiPriority w:val="99"/>
    <w:semiHidden/>
    <w:unhideWhenUsed/>
    <w:rsid w:val="007E0D54"/>
    <w:rPr>
      <w:sz w:val="16"/>
      <w:szCs w:val="16"/>
    </w:rPr>
  </w:style>
  <w:style w:type="character" w:customStyle="1" w:styleId="Titre1Car">
    <w:name w:val="Titre 1 Car"/>
    <w:link w:val="Titre1"/>
    <w:uiPriority w:val="9"/>
    <w:rsid w:val="004F22FB"/>
    <w:rPr>
      <w:rFonts w:ascii="Arial" w:eastAsia="Times New Roman" w:hAnsi="Arial"/>
      <w:b/>
      <w:caps/>
      <w:sz w:val="22"/>
      <w:szCs w:val="32"/>
      <w:lang w:val="en-US" w:eastAsia="en-US"/>
    </w:rPr>
  </w:style>
  <w:style w:type="character" w:customStyle="1" w:styleId="Titre2Car">
    <w:name w:val="Titre 2 Car"/>
    <w:link w:val="Titre2"/>
    <w:uiPriority w:val="9"/>
    <w:rsid w:val="004F22FB"/>
    <w:rPr>
      <w:rFonts w:ascii="Arial" w:eastAsia="Times New Roman" w:hAnsi="Arial"/>
      <w:b/>
      <w:sz w:val="22"/>
      <w:szCs w:val="26"/>
      <w:lang w:val="en-US" w:eastAsia="en-US"/>
    </w:rPr>
  </w:style>
  <w:style w:type="character" w:customStyle="1" w:styleId="Titre3Car">
    <w:name w:val="Titre 3 Car"/>
    <w:link w:val="Titre3"/>
    <w:uiPriority w:val="9"/>
    <w:rsid w:val="004F22FB"/>
    <w:rPr>
      <w:rFonts w:ascii="Arial" w:eastAsia="Times New Roman" w:hAnsi="Arial"/>
      <w:i/>
      <w:sz w:val="22"/>
      <w:szCs w:val="24"/>
      <w:lang w:val="en-US" w:eastAsia="en-US"/>
    </w:rPr>
  </w:style>
  <w:style w:type="numbering" w:customStyle="1" w:styleId="APL">
    <w:name w:val="APL"/>
    <w:uiPriority w:val="99"/>
    <w:rsid w:val="004F22FB"/>
    <w:pPr>
      <w:numPr>
        <w:numId w:val="4"/>
      </w:numPr>
    </w:pPr>
  </w:style>
  <w:style w:type="paragraph" w:styleId="Commentaire">
    <w:name w:val="annotation text"/>
    <w:basedOn w:val="Normal"/>
    <w:link w:val="CommentaireCar"/>
    <w:uiPriority w:val="99"/>
    <w:unhideWhenUsed/>
    <w:rsid w:val="004F22FB"/>
    <w:pPr>
      <w:spacing w:after="120" w:line="240" w:lineRule="auto"/>
      <w:jc w:val="both"/>
    </w:pPr>
    <w:rPr>
      <w:rFonts w:ascii="Arial" w:hAnsi="Arial"/>
      <w:sz w:val="20"/>
      <w:szCs w:val="20"/>
      <w:lang w:val="en-US"/>
    </w:rPr>
  </w:style>
  <w:style w:type="character" w:customStyle="1" w:styleId="CommentaireCar">
    <w:name w:val="Commentaire Car"/>
    <w:link w:val="Commentaire"/>
    <w:uiPriority w:val="99"/>
    <w:rsid w:val="004F22FB"/>
    <w:rPr>
      <w:rFonts w:ascii="Arial" w:hAnsi="Arial"/>
      <w:lang w:val="en-US" w:eastAsia="en-US"/>
    </w:rPr>
  </w:style>
  <w:style w:type="paragraph" w:styleId="Objetducommentaire">
    <w:name w:val="annotation subject"/>
    <w:basedOn w:val="Commentaire"/>
    <w:next w:val="Commentaire"/>
    <w:link w:val="ObjetducommentaireCar"/>
    <w:uiPriority w:val="99"/>
    <w:semiHidden/>
    <w:unhideWhenUsed/>
    <w:rsid w:val="004F22FB"/>
    <w:rPr>
      <w:b/>
      <w:bCs/>
    </w:rPr>
  </w:style>
  <w:style w:type="character" w:customStyle="1" w:styleId="ObjetducommentaireCar">
    <w:name w:val="Objet du commentaire Car"/>
    <w:link w:val="Objetducommentaire"/>
    <w:uiPriority w:val="99"/>
    <w:semiHidden/>
    <w:rsid w:val="004F22FB"/>
    <w:rPr>
      <w:rFonts w:ascii="Arial" w:hAnsi="Arial"/>
      <w:b/>
      <w:bCs/>
      <w:lang w:val="en-US" w:eastAsia="en-US"/>
    </w:rPr>
  </w:style>
  <w:style w:type="paragraph" w:styleId="Textedebulles">
    <w:name w:val="Balloon Text"/>
    <w:basedOn w:val="Normal"/>
    <w:link w:val="TextedebullesCar"/>
    <w:uiPriority w:val="99"/>
    <w:semiHidden/>
    <w:unhideWhenUsed/>
    <w:rsid w:val="004F22FB"/>
    <w:pPr>
      <w:spacing w:after="0" w:line="240" w:lineRule="auto"/>
      <w:jc w:val="both"/>
    </w:pPr>
    <w:rPr>
      <w:rFonts w:ascii="Segoe UI" w:hAnsi="Segoe UI" w:cs="Segoe UI"/>
      <w:sz w:val="18"/>
      <w:szCs w:val="18"/>
      <w:lang w:val="en-US"/>
    </w:rPr>
  </w:style>
  <w:style w:type="character" w:customStyle="1" w:styleId="TextedebullesCar">
    <w:name w:val="Texte de bulles Car"/>
    <w:link w:val="Textedebulles"/>
    <w:uiPriority w:val="99"/>
    <w:semiHidden/>
    <w:rsid w:val="004F22FB"/>
    <w:rPr>
      <w:rFonts w:ascii="Segoe UI" w:hAnsi="Segoe UI" w:cs="Segoe UI"/>
      <w:sz w:val="18"/>
      <w:szCs w:val="18"/>
      <w:lang w:val="en-US" w:eastAsia="en-US"/>
    </w:rPr>
  </w:style>
  <w:style w:type="character" w:styleId="Lienhypertexte">
    <w:name w:val="Hyperlink"/>
    <w:uiPriority w:val="99"/>
    <w:unhideWhenUsed/>
    <w:rsid w:val="004F22FB"/>
    <w:rPr>
      <w:color w:val="0563C1"/>
      <w:u w:val="single"/>
    </w:rPr>
  </w:style>
  <w:style w:type="paragraph" w:customStyle="1" w:styleId="Normal2">
    <w:name w:val="Normal 2"/>
    <w:basedOn w:val="Normal"/>
    <w:qFormat/>
    <w:rsid w:val="004F22FB"/>
    <w:pPr>
      <w:spacing w:after="120"/>
      <w:ind w:firstLine="284"/>
      <w:jc w:val="both"/>
    </w:pPr>
    <w:rPr>
      <w:rFonts w:ascii="Arial" w:hAnsi="Arial"/>
      <w:lang w:val="fr-FR"/>
    </w:rPr>
  </w:style>
  <w:style w:type="character" w:customStyle="1" w:styleId="A7">
    <w:name w:val="A7"/>
    <w:uiPriority w:val="99"/>
    <w:rsid w:val="004F22FB"/>
    <w:rPr>
      <w:color w:val="000000"/>
      <w:sz w:val="20"/>
      <w:szCs w:val="20"/>
      <w:u w:val="single"/>
    </w:rPr>
  </w:style>
  <w:style w:type="numbering" w:customStyle="1" w:styleId="numrationenparagraphes2">
    <w:name w:val="Énumération en paragraphes (2)"/>
    <w:uiPriority w:val="99"/>
    <w:rsid w:val="004F22FB"/>
    <w:pPr>
      <w:numPr>
        <w:numId w:val="5"/>
      </w:numPr>
    </w:pPr>
  </w:style>
  <w:style w:type="character" w:styleId="Lienhypertextesuivivisit">
    <w:name w:val="FollowedHyperlink"/>
    <w:uiPriority w:val="99"/>
    <w:semiHidden/>
    <w:unhideWhenUsed/>
    <w:rsid w:val="004F22FB"/>
    <w:rPr>
      <w:color w:val="954F72"/>
      <w:u w:val="single"/>
    </w:rPr>
  </w:style>
  <w:style w:type="table" w:styleId="Grilledutableau">
    <w:name w:val="Table Grid"/>
    <w:basedOn w:val="TableauNormal"/>
    <w:uiPriority w:val="39"/>
    <w:rsid w:val="004F22FB"/>
    <w:rPr>
      <w:sz w:val="22"/>
      <w:szCs w:val="22"/>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4F22FB"/>
    <w:pPr>
      <w:numPr>
        <w:ilvl w:val="1"/>
      </w:numPr>
      <w:jc w:val="both"/>
    </w:pPr>
    <w:rPr>
      <w:rFonts w:eastAsia="Times New Roman"/>
      <w:color w:val="5A5A5A"/>
      <w:spacing w:val="15"/>
      <w:lang w:val="en-US"/>
    </w:rPr>
  </w:style>
  <w:style w:type="character" w:customStyle="1" w:styleId="Sous-titreCar">
    <w:name w:val="Sous-titre Car"/>
    <w:link w:val="Sous-titre"/>
    <w:uiPriority w:val="11"/>
    <w:rsid w:val="004F22FB"/>
    <w:rPr>
      <w:rFonts w:eastAsia="Times New Roman"/>
      <w:color w:val="5A5A5A"/>
      <w:spacing w:val="15"/>
      <w:sz w:val="22"/>
      <w:szCs w:val="22"/>
      <w:lang w:val="en-US" w:eastAsia="en-US"/>
    </w:rPr>
  </w:style>
  <w:style w:type="paragraph" w:styleId="Notedebasdepage">
    <w:name w:val="footnote text"/>
    <w:basedOn w:val="Normal"/>
    <w:link w:val="NotedebasdepageCar"/>
    <w:uiPriority w:val="99"/>
    <w:unhideWhenUsed/>
    <w:qFormat/>
    <w:rsid w:val="004F22FB"/>
    <w:pPr>
      <w:spacing w:after="0" w:line="240" w:lineRule="auto"/>
    </w:pPr>
    <w:rPr>
      <w:sz w:val="20"/>
      <w:szCs w:val="20"/>
      <w:lang w:val="fr-FR"/>
    </w:rPr>
  </w:style>
  <w:style w:type="character" w:customStyle="1" w:styleId="NotedebasdepageCar">
    <w:name w:val="Note de bas de page Car"/>
    <w:link w:val="Notedebasdepage"/>
    <w:uiPriority w:val="99"/>
    <w:rsid w:val="004F22FB"/>
    <w:rPr>
      <w:lang w:val="fr-FR" w:eastAsia="en-US"/>
    </w:rPr>
  </w:style>
  <w:style w:type="character" w:styleId="Appelnotedebasdep">
    <w:name w:val="footnote reference"/>
    <w:aliases w:val="Footnote symbol"/>
    <w:uiPriority w:val="99"/>
    <w:unhideWhenUsed/>
    <w:rsid w:val="004F22FB"/>
    <w:rPr>
      <w:vertAlign w:val="superscript"/>
    </w:rPr>
  </w:style>
  <w:style w:type="paragraph" w:styleId="Sansinterligne">
    <w:name w:val="No Spacing"/>
    <w:uiPriority w:val="1"/>
    <w:qFormat/>
    <w:rsid w:val="004F22FB"/>
    <w:pPr>
      <w:jc w:val="both"/>
    </w:pPr>
    <w:rPr>
      <w:rFonts w:ascii="Arial" w:hAnsi="Arial"/>
      <w:sz w:val="22"/>
      <w:szCs w:val="22"/>
      <w:lang w:val="en-US" w:eastAsia="en-US"/>
    </w:rPr>
  </w:style>
  <w:style w:type="character" w:customStyle="1" w:styleId="DeltaViewInsertion">
    <w:name w:val="DeltaView Insertion"/>
    <w:uiPriority w:val="99"/>
    <w:rsid w:val="004F22FB"/>
    <w:rPr>
      <w:color w:val="0000FF"/>
      <w:u w:val="double"/>
    </w:rPr>
  </w:style>
  <w:style w:type="character" w:styleId="Numrodepage">
    <w:name w:val="page number"/>
    <w:uiPriority w:val="99"/>
    <w:semiHidden/>
    <w:unhideWhenUsed/>
    <w:rsid w:val="004F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33293">
      <w:bodyDiv w:val="1"/>
      <w:marLeft w:val="0"/>
      <w:marRight w:val="0"/>
      <w:marTop w:val="0"/>
      <w:marBottom w:val="0"/>
      <w:divBdr>
        <w:top w:val="none" w:sz="0" w:space="0" w:color="auto"/>
        <w:left w:val="none" w:sz="0" w:space="0" w:color="auto"/>
        <w:bottom w:val="none" w:sz="0" w:space="0" w:color="auto"/>
        <w:right w:val="none" w:sz="0" w:space="0" w:color="auto"/>
      </w:divBdr>
      <w:divsChild>
        <w:div w:id="749934798">
          <w:marLeft w:val="0"/>
          <w:marRight w:val="0"/>
          <w:marTop w:val="0"/>
          <w:marBottom w:val="0"/>
          <w:divBdr>
            <w:top w:val="none" w:sz="0" w:space="0" w:color="auto"/>
            <w:left w:val="none" w:sz="0" w:space="0" w:color="auto"/>
            <w:bottom w:val="none" w:sz="0" w:space="0" w:color="auto"/>
            <w:right w:val="none" w:sz="0" w:space="0" w:color="auto"/>
          </w:divBdr>
          <w:divsChild>
            <w:div w:id="294605167">
              <w:marLeft w:val="0"/>
              <w:marRight w:val="0"/>
              <w:marTop w:val="0"/>
              <w:marBottom w:val="0"/>
              <w:divBdr>
                <w:top w:val="none" w:sz="0" w:space="0" w:color="auto"/>
                <w:left w:val="none" w:sz="0" w:space="0" w:color="auto"/>
                <w:bottom w:val="none" w:sz="0" w:space="0" w:color="auto"/>
                <w:right w:val="none" w:sz="0" w:space="0" w:color="auto"/>
              </w:divBdr>
              <w:divsChild>
                <w:div w:id="337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DP7216B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7216B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/sftpecos/Dossiers_parlementaires/7216B/</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374D6D4-E6C9-49BC-9A99-30DF8A6455A3}"/>
</file>

<file path=customXml/itemProps2.xml><?xml version="1.0" encoding="utf-8"?>
<ds:datastoreItem xmlns:ds="http://schemas.openxmlformats.org/officeDocument/2006/customXml" ds:itemID="{D7829E12-44A6-4B18-9743-7EDCD0D2AFF4}"/>
</file>

<file path=customXml/itemProps3.xml><?xml version="1.0" encoding="utf-8"?>
<ds:datastoreItem xmlns:ds="http://schemas.openxmlformats.org/officeDocument/2006/customXml" ds:itemID="{705D8E74-1C0E-436A-A2A7-D93A1FC45184}"/>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3724</Characters>
  <Application>Microsoft Office Word</Application>
  <DocSecurity>4</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