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7F" w:rsidRPr="00161F7F" w:rsidRDefault="00D752D4" w:rsidP="00FA31D7">
      <w:pPr>
        <w:pStyle w:val="Paragraphedeliste"/>
        <w:spacing w:after="0" w:line="240" w:lineRule="auto"/>
        <w:ind w:left="0" w:firstLine="360"/>
        <w:jc w:val="center"/>
        <w:rPr>
          <w:b/>
          <w:sz w:val="22"/>
          <w:lang w:val="fr-FR"/>
        </w:rPr>
      </w:pPr>
      <w:bookmarkStart w:id="0" w:name="_GoBack"/>
      <w:bookmarkEnd w:id="0"/>
      <w:r w:rsidRPr="00161F7F">
        <w:rPr>
          <w:rFonts w:cs="Arial"/>
          <w:b/>
          <w:bCs/>
          <w:color w:val="000000"/>
          <w:sz w:val="22"/>
          <w:lang w:val="fr-FR"/>
        </w:rPr>
        <w:t>Projet de loi</w:t>
      </w:r>
      <w:r w:rsidR="009E66E7">
        <w:rPr>
          <w:rFonts w:cs="Arial"/>
          <w:b/>
          <w:bCs/>
          <w:color w:val="000000"/>
          <w:sz w:val="22"/>
          <w:lang w:val="fr-FR"/>
        </w:rPr>
        <w:t xml:space="preserve"> 7208</w:t>
      </w:r>
    </w:p>
    <w:p w:rsidR="00822D8D" w:rsidRPr="0085393D" w:rsidRDefault="00822D8D" w:rsidP="00FA3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000000"/>
          <w:lang w:eastAsia="fr-LU"/>
        </w:rPr>
      </w:pPr>
      <w:r w:rsidRPr="000C7535">
        <w:rPr>
          <w:rFonts w:ascii="Arial" w:hAnsi="Arial" w:cs="Arial"/>
          <w:b/>
          <w:iCs/>
          <w:color w:val="000000"/>
          <w:lang w:eastAsia="fr-LU"/>
        </w:rPr>
        <w:t xml:space="preserve">portant transposition de la directive (UE) 2016/2258 du Conseil du 6 décembre 2016 modifiant la directive 2011/16/UE en ce qui concerne l’accès des autorités fiscales aux informations relatives à la lutte contre le blanchiment de capitaux </w:t>
      </w:r>
      <w:r w:rsidRPr="0085393D">
        <w:rPr>
          <w:rFonts w:ascii="Arial" w:hAnsi="Arial" w:cs="Arial"/>
          <w:b/>
          <w:iCs/>
          <w:color w:val="000000"/>
          <w:lang w:eastAsia="fr-LU"/>
        </w:rPr>
        <w:t>et modifiant</w:t>
      </w:r>
    </w:p>
    <w:p w:rsidR="00822D8D" w:rsidRPr="00822D8D" w:rsidRDefault="00822D8D" w:rsidP="00FA31D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b/>
          <w:iCs/>
          <w:color w:val="000000"/>
          <w:sz w:val="22"/>
          <w:lang w:eastAsia="fr-LU"/>
        </w:rPr>
      </w:pPr>
      <w:r w:rsidRPr="00822D8D">
        <w:rPr>
          <w:rFonts w:cs="Arial"/>
          <w:b/>
          <w:iCs/>
          <w:sz w:val="22"/>
          <w:lang w:eastAsia="fr-LU"/>
        </w:rPr>
        <w:t>la loi modifiée du 29 mars 2013 relative à la coopération administrative dans le domaine fiscal ;</w:t>
      </w:r>
    </w:p>
    <w:p w:rsidR="00822D8D" w:rsidRPr="00822D8D" w:rsidRDefault="00822D8D" w:rsidP="00FA31D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b/>
          <w:iCs/>
          <w:color w:val="000000"/>
          <w:sz w:val="22"/>
          <w:lang w:eastAsia="fr-LU"/>
        </w:rPr>
      </w:pPr>
      <w:r w:rsidRPr="00822D8D">
        <w:rPr>
          <w:rFonts w:cs="Arial"/>
          <w:b/>
          <w:iCs/>
          <w:sz w:val="22"/>
          <w:lang w:eastAsia="fr-LU"/>
        </w:rPr>
        <w:t>la loi du 18 décembre 2015 relative à la Norme commune de déclaration (NCD), et</w:t>
      </w:r>
    </w:p>
    <w:p w:rsidR="00752348" w:rsidRPr="00822D8D" w:rsidRDefault="00822D8D" w:rsidP="00FA31D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="Arial"/>
          <w:b/>
          <w:iCs/>
          <w:color w:val="000000"/>
          <w:sz w:val="22"/>
          <w:lang w:eastAsia="fr-LU"/>
        </w:rPr>
      </w:pPr>
      <w:r w:rsidRPr="00822D8D">
        <w:rPr>
          <w:rFonts w:cs="Arial"/>
          <w:b/>
          <w:iCs/>
          <w:color w:val="000000"/>
          <w:sz w:val="22"/>
          <w:lang w:eastAsia="fr-LU"/>
        </w:rPr>
        <w:t>la loi du 23 décembre 2016 relative à la déclaration pays par pays</w:t>
      </w:r>
    </w:p>
    <w:p w:rsidR="0002273C" w:rsidRPr="00822D8D" w:rsidRDefault="0002273C" w:rsidP="00FA31D7">
      <w:pPr>
        <w:pStyle w:val="Default"/>
        <w:jc w:val="center"/>
        <w:rPr>
          <w:rFonts w:ascii="Arial" w:eastAsia="Arial" w:hAnsi="Arial" w:cs="Arial"/>
          <w:sz w:val="22"/>
          <w:szCs w:val="22"/>
        </w:rPr>
      </w:pP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  <w:r w:rsidRPr="00E175E6">
        <w:rPr>
          <w:rFonts w:ascii="Arial" w:hAnsi="Arial" w:cs="Arial"/>
        </w:rPr>
        <w:t xml:space="preserve">Le projet de loi sous rubrique a pour objet la transposition en droit national </w:t>
      </w:r>
      <w:r w:rsidR="006536AD" w:rsidRPr="002B527D">
        <w:rPr>
          <w:rFonts w:ascii="Arial" w:hAnsi="Arial" w:cs="Arial"/>
        </w:rPr>
        <w:t>d’une partie</w:t>
      </w:r>
      <w:r w:rsidR="006536AD">
        <w:rPr>
          <w:rFonts w:ascii="Arial" w:hAnsi="Arial" w:cs="Arial"/>
        </w:rPr>
        <w:t xml:space="preserve"> </w:t>
      </w:r>
      <w:r w:rsidRPr="00E175E6">
        <w:rPr>
          <w:rFonts w:ascii="Arial" w:hAnsi="Arial" w:cs="Arial"/>
        </w:rPr>
        <w:t>de la directive 2016/2258 du Conseil du 6 décembre 2016 modifiant la directive 2011/16/UE en ce qui concerne l’accès des autorités fiscales aux informations relatives à la lutte contre le blanchiment de capitaux (dite « DAC 5 »). A cette fin le projet de loi modifie la loi modifiée du 29 mars 2013 relative à la coopération administrative dans le domaine fiscal, la loi du 18 décembre 2015 relative à la Norme commune de déclaration (NCD), ainsi que la loi du 23 décembre 2016 relative à la déclaration pays par pays.</w:t>
      </w: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  <w:r w:rsidRPr="00E175E6">
        <w:rPr>
          <w:rFonts w:ascii="Arial" w:hAnsi="Arial" w:cs="Arial"/>
        </w:rPr>
        <w:t>La directive de coopération administrative DAC 5 s’inscrit dans une séquence de directives antérieures visant à améliorer la coopération entre les administrations fiscales des Etats membres de l’UE. Ainsi la directive 2011/16/UE, la DAC 1, établit les procédures des échanges d’informations sur demande, des échanges spontanés et des échanges automatiques. La directive 2014/107/UE, la DAC 2, renforce le dispositif de la DAC 1 et introduit la Norme commune de déclaration (Common reporting standard – CRS) dans le cadre réglementaire européen. Cette norme, standard mondial en matière d’échange automatique de renseignements relatifs aux comptes financiers et de leurs bénéficiaires effectifs, vise à assurer que les informations sur les bénéficiaires de comptes financiers sont communiquées à l’Etat membre dans lequel réside le titulaire du compte. Lorsque ce dernier est une structure intermédiaire, la DAC 2 impose aux institutions financières d’identifier et de communiquer le bénéficiaire aux autorités fiscales. Les directives subséquentes, DAC 3 et DAC 4, étendent l’échange automatique aux décisions et accords préalables en matière de fiscalité et à la déclaration pays par pays, opérationnalisant ainsi les actions 5 et 13 du plan d’action BEPS.</w:t>
      </w: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  <w:r w:rsidRPr="00E175E6">
        <w:rPr>
          <w:rFonts w:ascii="Arial" w:hAnsi="Arial" w:cs="Arial"/>
        </w:rPr>
        <w:t>La DAC 5, quant à elle, concerne l’accès aux informations sur les bénéficiaires effectifs par les autorités fiscale</w:t>
      </w:r>
      <w:r w:rsidR="00FA31D7">
        <w:rPr>
          <w:rFonts w:ascii="Arial" w:hAnsi="Arial" w:cs="Arial"/>
        </w:rPr>
        <w:t>s</w:t>
      </w:r>
      <w:r w:rsidRPr="00E175E6">
        <w:rPr>
          <w:rFonts w:ascii="Arial" w:hAnsi="Arial" w:cs="Arial"/>
        </w:rPr>
        <w:t>. Le projet de loi sous rubrique établit la base légale permettant aux administrations fiscales d’accéder aux informations relatives à la lutte contre le blanchiment de capitaux et de surveiller l’application correcte des procédures de diligence raisonnable par les entités financières y soumises. Concrètement, l’accès à ces informations est assuré par un renvoi aux articles pertinents de la loi modifiée du 12 novembre 2004 relative à la lutte contre le blanchiment, qui transposent en droit luxembourgeois les articles 13 et 40 de la directive (UE) 2015/849 du Parlement européen et du Conseil aux fins de l’identification des bénéficiaires effectifs (ci-après, « directive 2015/849 »).</w:t>
      </w: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</w:p>
    <w:p w:rsidR="00E175E6" w:rsidRPr="00E175E6" w:rsidRDefault="00E175E6" w:rsidP="00FA31D7">
      <w:pPr>
        <w:spacing w:after="0" w:line="240" w:lineRule="auto"/>
        <w:jc w:val="both"/>
        <w:rPr>
          <w:rFonts w:ascii="Arial" w:hAnsi="Arial" w:cs="Arial"/>
        </w:rPr>
      </w:pPr>
      <w:r w:rsidRPr="00E175E6">
        <w:rPr>
          <w:rFonts w:ascii="Arial" w:hAnsi="Arial" w:cs="Arial"/>
        </w:rPr>
        <w:t>En ce qui concerne l’accès des autorités fiscales aux informations définies aux articles 30 et 31 de la directive 2015/849, à savoir le registre des bénéficiaires effectifs des sociétés, des trusts et des fiducies, tel que le prévoit également la DAC 5, celui-ci sera assuré par le biais des projets de loi 7216 et 7217, qui introduiront les registres respectifs dans le cadre légal luxembourgeois.</w:t>
      </w:r>
    </w:p>
    <w:p w:rsidR="0002273C" w:rsidRDefault="0002273C" w:rsidP="00FA31D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p w:rsidR="0002273C" w:rsidRPr="009C12DF" w:rsidRDefault="0002273C" w:rsidP="00FA31D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02273C" w:rsidRPr="009C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1D" w:rsidRDefault="00B05C1D" w:rsidP="00771C5C">
      <w:pPr>
        <w:spacing w:after="0" w:line="240" w:lineRule="auto"/>
      </w:pPr>
      <w:r>
        <w:separator/>
      </w:r>
    </w:p>
  </w:endnote>
  <w:endnote w:type="continuationSeparator" w:id="0">
    <w:p w:rsidR="00B05C1D" w:rsidRDefault="00B05C1D" w:rsidP="0077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1D" w:rsidRDefault="00B05C1D" w:rsidP="00771C5C">
      <w:pPr>
        <w:spacing w:after="0" w:line="240" w:lineRule="auto"/>
      </w:pPr>
      <w:r>
        <w:separator/>
      </w:r>
    </w:p>
  </w:footnote>
  <w:footnote w:type="continuationSeparator" w:id="0">
    <w:p w:rsidR="00B05C1D" w:rsidRDefault="00B05C1D" w:rsidP="0077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06E"/>
    <w:multiLevelType w:val="hybridMultilevel"/>
    <w:tmpl w:val="B0100CD2"/>
    <w:lvl w:ilvl="0" w:tplc="E4201B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D0654F"/>
    <w:multiLevelType w:val="hybridMultilevel"/>
    <w:tmpl w:val="855A6F16"/>
    <w:lvl w:ilvl="0" w:tplc="3BA6D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A37A7"/>
    <w:multiLevelType w:val="hybridMultilevel"/>
    <w:tmpl w:val="0FDE06F2"/>
    <w:lvl w:ilvl="0" w:tplc="F2928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372CE8"/>
    <w:multiLevelType w:val="hybridMultilevel"/>
    <w:tmpl w:val="D9FE8872"/>
    <w:lvl w:ilvl="0" w:tplc="F8F20960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B72B8"/>
    <w:multiLevelType w:val="hybridMultilevel"/>
    <w:tmpl w:val="15FA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2273C"/>
    <w:rsid w:val="000762ED"/>
    <w:rsid w:val="000B3EE3"/>
    <w:rsid w:val="0010111B"/>
    <w:rsid w:val="00161F7F"/>
    <w:rsid w:val="001C0237"/>
    <w:rsid w:val="002750A4"/>
    <w:rsid w:val="002851C5"/>
    <w:rsid w:val="002B527D"/>
    <w:rsid w:val="002F0ADB"/>
    <w:rsid w:val="002F3B16"/>
    <w:rsid w:val="003F5E23"/>
    <w:rsid w:val="00457E34"/>
    <w:rsid w:val="00495E9F"/>
    <w:rsid w:val="004C2FA1"/>
    <w:rsid w:val="0058797D"/>
    <w:rsid w:val="005B5C56"/>
    <w:rsid w:val="00624EDF"/>
    <w:rsid w:val="006536AD"/>
    <w:rsid w:val="00702925"/>
    <w:rsid w:val="00706BBA"/>
    <w:rsid w:val="00714EDB"/>
    <w:rsid w:val="007265A3"/>
    <w:rsid w:val="00752348"/>
    <w:rsid w:val="00771C5C"/>
    <w:rsid w:val="007942C7"/>
    <w:rsid w:val="007D5362"/>
    <w:rsid w:val="00822D8D"/>
    <w:rsid w:val="00860178"/>
    <w:rsid w:val="00901DA7"/>
    <w:rsid w:val="009278CA"/>
    <w:rsid w:val="00976BF9"/>
    <w:rsid w:val="009C0799"/>
    <w:rsid w:val="009D3856"/>
    <w:rsid w:val="009E66E7"/>
    <w:rsid w:val="00A63AE6"/>
    <w:rsid w:val="00AA547D"/>
    <w:rsid w:val="00AB31D4"/>
    <w:rsid w:val="00B03BD1"/>
    <w:rsid w:val="00B05C1D"/>
    <w:rsid w:val="00C24E93"/>
    <w:rsid w:val="00C6742A"/>
    <w:rsid w:val="00CE7012"/>
    <w:rsid w:val="00CF11AB"/>
    <w:rsid w:val="00D278DD"/>
    <w:rsid w:val="00D752D4"/>
    <w:rsid w:val="00E02A9D"/>
    <w:rsid w:val="00E072B7"/>
    <w:rsid w:val="00E175E6"/>
    <w:rsid w:val="00E23829"/>
    <w:rsid w:val="00E2588F"/>
    <w:rsid w:val="00E842D2"/>
    <w:rsid w:val="00E93021"/>
    <w:rsid w:val="00EB2727"/>
    <w:rsid w:val="00F15F71"/>
    <w:rsid w:val="00F60E44"/>
    <w:rsid w:val="00FA31D7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603FD4-310D-47EB-A129-E139E53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71C5C"/>
    <w:pPr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771C5C"/>
    <w:rPr>
      <w:lang w:val="en-US" w:eastAsia="en-US"/>
    </w:rPr>
  </w:style>
  <w:style w:type="character" w:styleId="Appelnotedebasdep">
    <w:name w:val="footnote reference"/>
    <w:uiPriority w:val="99"/>
    <w:unhideWhenUsed/>
    <w:rsid w:val="00771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DP7208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7208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/sftpecos/Dossiers_parlementaires/7208/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74CA38B-CF41-4525-85B4-3073EAD935E0}"/>
</file>

<file path=customXml/itemProps2.xml><?xml version="1.0" encoding="utf-8"?>
<ds:datastoreItem xmlns:ds="http://schemas.openxmlformats.org/officeDocument/2006/customXml" ds:itemID="{89872C55-C4A0-46D5-9F31-94ECF10971C7}"/>
</file>

<file path=customXml/itemProps3.xml><?xml version="1.0" encoding="utf-8"?>
<ds:datastoreItem xmlns:ds="http://schemas.openxmlformats.org/officeDocument/2006/customXml" ds:itemID="{FCCA7068-43C1-466E-8F0A-DFC11F024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3044</Characters>
  <Application>Microsoft Office Word</Application>
  <DocSecurity>4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