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E27" w:rsidRPr="00615E27" w:rsidRDefault="00615E27" w:rsidP="00615E27">
      <w:pPr>
        <w:ind w:left="70"/>
        <w:jc w:val="both"/>
        <w:rPr>
          <w:rFonts w:ascii="Arial" w:hAnsi="Arial"/>
          <w:b/>
          <w:lang w:eastAsia="fr-LU"/>
        </w:rPr>
      </w:pPr>
      <w:bookmarkStart w:id="0" w:name="_GoBack"/>
      <w:bookmarkEnd w:id="0"/>
      <w:r w:rsidRPr="00615E27">
        <w:rPr>
          <w:rFonts w:ascii="Arial" w:hAnsi="Arial"/>
          <w:b/>
          <w:lang w:eastAsia="fr-LU"/>
        </w:rPr>
        <w:t xml:space="preserve">7156 compte général </w:t>
      </w:r>
    </w:p>
    <w:p w:rsidR="00615E27" w:rsidRDefault="00615E27" w:rsidP="00615E27">
      <w:pPr>
        <w:ind w:left="70"/>
        <w:jc w:val="both"/>
        <w:rPr>
          <w:rFonts w:ascii="Arial" w:hAnsi="Arial"/>
          <w:lang w:eastAsia="fr-LU"/>
        </w:rPr>
      </w:pPr>
    </w:p>
    <w:p w:rsidR="00615E27" w:rsidRPr="007D5DC8" w:rsidRDefault="00615E27" w:rsidP="00615E27">
      <w:pPr>
        <w:ind w:left="70"/>
        <w:jc w:val="both"/>
        <w:rPr>
          <w:rFonts w:ascii="Arial" w:hAnsi="Arial"/>
          <w:lang w:eastAsia="fr-LU"/>
        </w:rPr>
      </w:pPr>
      <w:r w:rsidRPr="007D5DC8">
        <w:rPr>
          <w:rFonts w:ascii="Arial" w:hAnsi="Arial"/>
          <w:lang w:eastAsia="fr-LU"/>
        </w:rPr>
        <w:t xml:space="preserve">Le compte général de l’exercice 2016 se solde par un </w:t>
      </w:r>
      <w:r w:rsidRPr="007D5DC8">
        <w:rPr>
          <w:rFonts w:ascii="Arial" w:hAnsi="Arial"/>
          <w:u w:val="single"/>
          <w:lang w:eastAsia="fr-LU"/>
        </w:rPr>
        <w:t>résultat négatif</w:t>
      </w:r>
      <w:r w:rsidRPr="007D5DC8">
        <w:rPr>
          <w:rFonts w:ascii="Arial" w:hAnsi="Arial"/>
          <w:lang w:eastAsia="fr-LU"/>
        </w:rPr>
        <w:t xml:space="preserve"> au budget des recettes et des dépenses</w:t>
      </w:r>
      <w:r>
        <w:rPr>
          <w:rFonts w:ascii="Arial" w:hAnsi="Arial"/>
          <w:lang w:eastAsia="fr-LU"/>
        </w:rPr>
        <w:t>, tandis que</w:t>
      </w:r>
      <w:r w:rsidRPr="007D5DC8">
        <w:rPr>
          <w:rFonts w:ascii="Arial" w:hAnsi="Arial"/>
          <w:lang w:eastAsia="fr-LU"/>
        </w:rPr>
        <w:t xml:space="preserve"> le budget pour ordre affiche un solde positif.</w:t>
      </w:r>
    </w:p>
    <w:p w:rsidR="00615E27" w:rsidRPr="007D5DC8" w:rsidRDefault="00615E27" w:rsidP="00615E27">
      <w:pPr>
        <w:ind w:left="70"/>
        <w:jc w:val="both"/>
        <w:rPr>
          <w:rFonts w:ascii="Arial" w:hAnsi="Arial"/>
          <w:lang w:eastAsia="fr-LU"/>
        </w:rPr>
      </w:pPr>
    </w:p>
    <w:p w:rsidR="00615E27" w:rsidRPr="007D5DC8" w:rsidRDefault="00615E27" w:rsidP="00615E27">
      <w:pPr>
        <w:ind w:left="70"/>
        <w:jc w:val="both"/>
        <w:rPr>
          <w:rFonts w:ascii="Arial" w:hAnsi="Arial"/>
          <w:lang w:eastAsia="fr-LU"/>
        </w:rPr>
      </w:pPr>
      <w:r w:rsidRPr="007D5DC8">
        <w:rPr>
          <w:rFonts w:ascii="Arial" w:hAnsi="Arial"/>
          <w:lang w:eastAsia="fr-LU"/>
        </w:rPr>
        <w:t xml:space="preserve">L’exercice 2016 dégage un </w:t>
      </w:r>
      <w:r w:rsidRPr="007D5DC8">
        <w:rPr>
          <w:rFonts w:ascii="Arial" w:hAnsi="Arial"/>
          <w:u w:val="single"/>
          <w:lang w:eastAsia="fr-LU"/>
        </w:rPr>
        <w:t xml:space="preserve">résultat négatif de </w:t>
      </w:r>
      <w:r>
        <w:rPr>
          <w:rFonts w:ascii="Arial" w:hAnsi="Arial"/>
          <w:u w:val="single"/>
          <w:lang w:eastAsia="fr-LU"/>
        </w:rPr>
        <w:t>-</w:t>
      </w:r>
      <w:r w:rsidRPr="007D5DC8">
        <w:rPr>
          <w:rFonts w:ascii="Arial" w:hAnsi="Arial"/>
          <w:u w:val="single"/>
          <w:lang w:eastAsia="fr-LU"/>
        </w:rPr>
        <w:t>1.292.620.188,92 euros</w:t>
      </w:r>
      <w:r w:rsidRPr="007D5DC8">
        <w:rPr>
          <w:rFonts w:ascii="Arial" w:hAnsi="Arial"/>
          <w:lang w:eastAsia="fr-LU"/>
        </w:rPr>
        <w:t>. En imputant ce résultat au solde cumulé des exercices clos antérieurs, le report du solde des recettes et dépenses courantes et en capital, repris au bilan financier de l’Etat à présenter par la Trésorerie de l’Etat, s’établit à -2.425.896.209,48 euros.</w:t>
      </w:r>
    </w:p>
    <w:p w:rsidR="00615E27" w:rsidRDefault="00615E27" w:rsidP="00615E27">
      <w:pPr>
        <w:pStyle w:val="Default"/>
        <w:jc w:val="both"/>
        <w:rPr>
          <w:rFonts w:ascii="Arial" w:hAnsi="Arial" w:cs="Arial"/>
          <w:sz w:val="22"/>
          <w:szCs w:val="22"/>
        </w:rPr>
      </w:pPr>
    </w:p>
    <w:p w:rsidR="00615E27" w:rsidRPr="00576193" w:rsidRDefault="00615E27" w:rsidP="00615E27">
      <w:pPr>
        <w:pStyle w:val="Default"/>
        <w:jc w:val="both"/>
        <w:rPr>
          <w:rFonts w:ascii="Arial" w:hAnsi="Arial" w:cs="Arial"/>
          <w:sz w:val="22"/>
          <w:szCs w:val="22"/>
          <w:u w:val="single"/>
        </w:rPr>
      </w:pPr>
      <w:r w:rsidRPr="00576193">
        <w:rPr>
          <w:rFonts w:ascii="Arial" w:hAnsi="Arial" w:cs="Arial"/>
          <w:sz w:val="22"/>
          <w:szCs w:val="22"/>
          <w:u w:val="single"/>
        </w:rPr>
        <w:t>Situation globale de l’exécution du budget 2016</w:t>
      </w:r>
    </w:p>
    <w:p w:rsidR="00615E27" w:rsidRDefault="00615E27" w:rsidP="00615E27">
      <w:pPr>
        <w:pStyle w:val="Default"/>
        <w:jc w:val="both"/>
        <w:rPr>
          <w:rFonts w:ascii="Arial" w:hAnsi="Arial" w:cs="Arial"/>
          <w:sz w:val="22"/>
          <w:szCs w:val="22"/>
        </w:rPr>
      </w:pPr>
    </w:p>
    <w:p w:rsidR="00615E27" w:rsidRDefault="00615E27" w:rsidP="00615E27">
      <w:pPr>
        <w:pStyle w:val="Default"/>
        <w:jc w:val="both"/>
        <w:rPr>
          <w:rFonts w:ascii="Arial" w:hAnsi="Arial" w:cs="Arial"/>
          <w:sz w:val="22"/>
          <w:szCs w:val="22"/>
        </w:rPr>
      </w:pPr>
      <w:r>
        <w:rPr>
          <w:rFonts w:ascii="Arial" w:hAnsi="Arial" w:cs="Arial"/>
          <w:sz w:val="22"/>
          <w:szCs w:val="22"/>
        </w:rPr>
        <w:t xml:space="preserve">Le compte général de l’exercice 2016, </w:t>
      </w:r>
      <w:r w:rsidRPr="008D61FA">
        <w:rPr>
          <w:rFonts w:ascii="Arial" w:hAnsi="Arial" w:cs="Arial"/>
          <w:sz w:val="22"/>
          <w:szCs w:val="22"/>
        </w:rPr>
        <w:t xml:space="preserve">en application de la loi modifiée du 8 juin 1999 sur le </w:t>
      </w:r>
      <w:r>
        <w:rPr>
          <w:rFonts w:ascii="Arial" w:hAnsi="Arial" w:cs="Arial"/>
          <w:sz w:val="22"/>
          <w:szCs w:val="22"/>
        </w:rPr>
        <w:t>B</w:t>
      </w:r>
      <w:r w:rsidRPr="008D61FA">
        <w:rPr>
          <w:rFonts w:ascii="Arial" w:hAnsi="Arial" w:cs="Arial"/>
          <w:sz w:val="22"/>
          <w:szCs w:val="22"/>
        </w:rPr>
        <w:t xml:space="preserve">udget, la </w:t>
      </w:r>
      <w:r>
        <w:rPr>
          <w:rFonts w:ascii="Arial" w:hAnsi="Arial" w:cs="Arial"/>
          <w:sz w:val="22"/>
          <w:szCs w:val="22"/>
        </w:rPr>
        <w:t>C</w:t>
      </w:r>
      <w:r w:rsidRPr="008D61FA">
        <w:rPr>
          <w:rFonts w:ascii="Arial" w:hAnsi="Arial" w:cs="Arial"/>
          <w:sz w:val="22"/>
          <w:szCs w:val="22"/>
        </w:rPr>
        <w:t>omptabi</w:t>
      </w:r>
      <w:r>
        <w:rPr>
          <w:rFonts w:ascii="Arial" w:hAnsi="Arial" w:cs="Arial"/>
          <w:sz w:val="22"/>
          <w:szCs w:val="22"/>
        </w:rPr>
        <w:t>lité et la Trésorerie de l’Etat, ainsi que les écarts par rapport au budget voté se présentent comme suit:</w:t>
      </w:r>
    </w:p>
    <w:p w:rsidR="00615E27" w:rsidRDefault="00615E27" w:rsidP="00615E27">
      <w:pPr>
        <w:pStyle w:val="Default"/>
        <w:jc w:val="both"/>
        <w:rPr>
          <w:rFonts w:ascii="Arial" w:hAnsi="Arial" w:cs="Arial"/>
          <w:sz w:val="22"/>
          <w:szCs w:val="22"/>
        </w:rPr>
      </w:pPr>
    </w:p>
    <w:p w:rsidR="00615E27" w:rsidRPr="007D5DC8" w:rsidRDefault="00615E27" w:rsidP="00615E27">
      <w:pPr>
        <w:spacing w:line="276" w:lineRule="auto"/>
        <w:ind w:left="70"/>
        <w:jc w:val="both"/>
        <w:rPr>
          <w:rFonts w:ascii="Arial" w:hAnsi="Arial"/>
          <w:b/>
          <w:lang w:eastAsia="fr-LU"/>
        </w:rPr>
      </w:pPr>
      <w:r w:rsidRPr="007D5DC8">
        <w:rPr>
          <w:rFonts w:ascii="Arial" w:hAnsi="Arial"/>
          <w:b/>
          <w:lang w:eastAsia="fr-LU"/>
        </w:rPr>
        <w:t xml:space="preserve">Tableau: Budget et compte général </w:t>
      </w:r>
      <w:r w:rsidRPr="007D5DC8">
        <w:rPr>
          <w:rFonts w:ascii="Arial" w:hAnsi="Arial"/>
          <w:b/>
          <w:bCs/>
          <w:lang w:eastAsia="fr-LU"/>
        </w:rPr>
        <w:t xml:space="preserve">de l’exercice </w:t>
      </w:r>
      <w:r w:rsidRPr="007D5DC8">
        <w:rPr>
          <w:rFonts w:ascii="Arial" w:hAnsi="Arial"/>
          <w:b/>
          <w:lang w:eastAsia="fr-LU"/>
        </w:rPr>
        <w:t>2016</w:t>
      </w:r>
    </w:p>
    <w:p w:rsidR="00615E27" w:rsidRPr="007D5DC8" w:rsidRDefault="00615E27" w:rsidP="00615E27">
      <w:pPr>
        <w:spacing w:line="276" w:lineRule="auto"/>
        <w:ind w:left="70"/>
        <w:jc w:val="both"/>
        <w:rPr>
          <w:rFonts w:ascii="Arial" w:hAnsi="Arial"/>
          <w:b/>
          <w:sz w:val="18"/>
          <w:szCs w:val="18"/>
          <w:lang w:eastAsia="fr-LU"/>
        </w:rPr>
      </w:pPr>
    </w:p>
    <w:tbl>
      <w:tblPr>
        <w:tblW w:w="8600" w:type="dxa"/>
        <w:tblInd w:w="567"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985"/>
        <w:gridCol w:w="1984"/>
        <w:gridCol w:w="1809"/>
        <w:gridCol w:w="1121"/>
      </w:tblGrid>
      <w:tr w:rsidR="00615E27" w:rsidRPr="007D5DC8" w:rsidTr="00EB05E9">
        <w:trPr>
          <w:cantSplit/>
        </w:trPr>
        <w:tc>
          <w:tcPr>
            <w:tcW w:w="1701" w:type="dxa"/>
            <w:vMerge w:val="restart"/>
            <w:tcMar>
              <w:top w:w="0" w:type="dxa"/>
              <w:left w:w="108" w:type="dxa"/>
              <w:bottom w:w="0" w:type="dxa"/>
              <w:right w:w="108" w:type="dxa"/>
            </w:tcMar>
            <w:vAlign w:val="center"/>
          </w:tcPr>
          <w:p w:rsidR="00615E27" w:rsidRPr="007D5DC8" w:rsidRDefault="00615E27" w:rsidP="00EB05E9">
            <w:pPr>
              <w:spacing w:line="276" w:lineRule="auto"/>
              <w:ind w:left="70"/>
              <w:jc w:val="both"/>
              <w:rPr>
                <w:rFonts w:ascii="Arial" w:hAnsi="Arial"/>
                <w:sz w:val="18"/>
                <w:szCs w:val="18"/>
                <w:lang w:eastAsia="fr-LU"/>
              </w:rPr>
            </w:pPr>
          </w:p>
        </w:tc>
        <w:tc>
          <w:tcPr>
            <w:tcW w:w="1985" w:type="dxa"/>
            <w:vMerge w:val="restart"/>
            <w:tcMar>
              <w:top w:w="0" w:type="dxa"/>
              <w:left w:w="108" w:type="dxa"/>
              <w:bottom w:w="0" w:type="dxa"/>
              <w:right w:w="108" w:type="dxa"/>
            </w:tcMar>
            <w:vAlign w:val="center"/>
          </w:tcPr>
          <w:p w:rsidR="00615E27" w:rsidRPr="007D5DC8" w:rsidRDefault="00615E27" w:rsidP="00EB05E9">
            <w:pPr>
              <w:spacing w:line="276" w:lineRule="auto"/>
              <w:ind w:left="70"/>
              <w:rPr>
                <w:rFonts w:ascii="Arial" w:hAnsi="Arial"/>
                <w:sz w:val="18"/>
                <w:szCs w:val="18"/>
                <w:lang w:eastAsia="fr-LU"/>
              </w:rPr>
            </w:pPr>
            <w:r w:rsidRPr="007D5DC8">
              <w:rPr>
                <w:rFonts w:ascii="Arial" w:hAnsi="Arial"/>
                <w:b/>
                <w:bCs/>
                <w:sz w:val="18"/>
                <w:szCs w:val="18"/>
                <w:lang w:eastAsia="fr-LU"/>
              </w:rPr>
              <w:t>Budget voté</w:t>
            </w:r>
            <w:r w:rsidRPr="007D5DC8">
              <w:rPr>
                <w:rFonts w:ascii="Arial" w:hAnsi="Arial"/>
                <w:b/>
                <w:bCs/>
                <w:sz w:val="18"/>
                <w:szCs w:val="18"/>
                <w:lang w:eastAsia="fr-LU"/>
              </w:rPr>
              <w:br/>
              <w:t>2016</w:t>
            </w:r>
          </w:p>
        </w:tc>
        <w:tc>
          <w:tcPr>
            <w:tcW w:w="1984" w:type="dxa"/>
            <w:vMerge w:val="restart"/>
            <w:tcMar>
              <w:top w:w="0" w:type="dxa"/>
              <w:left w:w="108" w:type="dxa"/>
              <w:bottom w:w="0" w:type="dxa"/>
              <w:right w:w="108" w:type="dxa"/>
            </w:tcMar>
            <w:vAlign w:val="center"/>
          </w:tcPr>
          <w:p w:rsidR="00615E27" w:rsidRPr="007D5DC8" w:rsidRDefault="00615E27" w:rsidP="00EB05E9">
            <w:pPr>
              <w:spacing w:line="276" w:lineRule="auto"/>
              <w:ind w:left="70"/>
              <w:rPr>
                <w:rFonts w:ascii="Arial" w:hAnsi="Arial"/>
                <w:sz w:val="18"/>
                <w:szCs w:val="18"/>
                <w:lang w:eastAsia="fr-LU"/>
              </w:rPr>
            </w:pPr>
            <w:r w:rsidRPr="007D5DC8">
              <w:rPr>
                <w:rFonts w:ascii="Arial" w:hAnsi="Arial"/>
                <w:b/>
                <w:bCs/>
                <w:sz w:val="18"/>
                <w:szCs w:val="18"/>
                <w:lang w:eastAsia="fr-LU"/>
              </w:rPr>
              <w:t>Compte général</w:t>
            </w:r>
            <w:r w:rsidRPr="007D5DC8">
              <w:rPr>
                <w:rFonts w:ascii="Arial" w:hAnsi="Arial"/>
                <w:b/>
                <w:bCs/>
                <w:sz w:val="18"/>
                <w:szCs w:val="18"/>
                <w:lang w:eastAsia="fr-LU"/>
              </w:rPr>
              <w:br/>
              <w:t>2016</w:t>
            </w:r>
          </w:p>
        </w:tc>
        <w:tc>
          <w:tcPr>
            <w:tcW w:w="2930" w:type="dxa"/>
            <w:gridSpan w:val="2"/>
            <w:tcMar>
              <w:top w:w="0" w:type="dxa"/>
              <w:left w:w="108" w:type="dxa"/>
              <w:bottom w:w="0" w:type="dxa"/>
              <w:right w:w="108" w:type="dxa"/>
            </w:tcMar>
            <w:vAlign w:val="center"/>
          </w:tcPr>
          <w:p w:rsidR="00615E27" w:rsidRPr="007D5DC8" w:rsidRDefault="00615E27" w:rsidP="00EB05E9">
            <w:pPr>
              <w:spacing w:line="276" w:lineRule="auto"/>
              <w:ind w:left="70"/>
              <w:jc w:val="both"/>
              <w:rPr>
                <w:rFonts w:ascii="Arial" w:hAnsi="Arial"/>
                <w:sz w:val="18"/>
                <w:szCs w:val="18"/>
                <w:lang w:eastAsia="fr-LU"/>
              </w:rPr>
            </w:pPr>
            <w:r w:rsidRPr="007D5DC8">
              <w:rPr>
                <w:rFonts w:ascii="Arial" w:hAnsi="Arial"/>
                <w:b/>
                <w:bCs/>
                <w:sz w:val="18"/>
                <w:szCs w:val="18"/>
                <w:lang w:eastAsia="fr-LU"/>
              </w:rPr>
              <w:t>Variation</w:t>
            </w:r>
          </w:p>
        </w:tc>
      </w:tr>
      <w:tr w:rsidR="00615E27" w:rsidRPr="007D5DC8" w:rsidTr="00EB05E9">
        <w:trPr>
          <w:cantSplit/>
        </w:trPr>
        <w:tc>
          <w:tcPr>
            <w:tcW w:w="1701" w:type="dxa"/>
            <w:vMerge/>
            <w:tcMar>
              <w:top w:w="0" w:type="dxa"/>
              <w:left w:w="108" w:type="dxa"/>
              <w:bottom w:w="0" w:type="dxa"/>
              <w:right w:w="108" w:type="dxa"/>
            </w:tcMar>
            <w:vAlign w:val="center"/>
          </w:tcPr>
          <w:p w:rsidR="00615E27" w:rsidRPr="007D5DC8" w:rsidRDefault="00615E27" w:rsidP="00EB05E9">
            <w:pPr>
              <w:spacing w:line="276" w:lineRule="auto"/>
              <w:ind w:left="70"/>
              <w:jc w:val="both"/>
              <w:rPr>
                <w:rFonts w:ascii="Arial" w:hAnsi="Arial"/>
                <w:b/>
                <w:bCs/>
                <w:sz w:val="18"/>
                <w:szCs w:val="18"/>
                <w:lang w:eastAsia="fr-LU"/>
              </w:rPr>
            </w:pPr>
          </w:p>
        </w:tc>
        <w:tc>
          <w:tcPr>
            <w:tcW w:w="1985" w:type="dxa"/>
            <w:vMerge/>
            <w:tcMar>
              <w:top w:w="0" w:type="dxa"/>
              <w:left w:w="108" w:type="dxa"/>
              <w:bottom w:w="0" w:type="dxa"/>
              <w:right w:w="108" w:type="dxa"/>
            </w:tcMar>
            <w:vAlign w:val="center"/>
          </w:tcPr>
          <w:p w:rsidR="00615E27" w:rsidRPr="007D5DC8" w:rsidRDefault="00615E27" w:rsidP="00EB05E9">
            <w:pPr>
              <w:spacing w:line="276" w:lineRule="auto"/>
              <w:ind w:left="70"/>
              <w:jc w:val="both"/>
              <w:rPr>
                <w:rFonts w:ascii="Arial" w:hAnsi="Arial"/>
                <w:b/>
                <w:bCs/>
                <w:sz w:val="18"/>
                <w:szCs w:val="18"/>
                <w:lang w:eastAsia="fr-LU"/>
              </w:rPr>
            </w:pPr>
          </w:p>
        </w:tc>
        <w:tc>
          <w:tcPr>
            <w:tcW w:w="1984" w:type="dxa"/>
            <w:vMerge/>
            <w:tcMar>
              <w:top w:w="0" w:type="dxa"/>
              <w:left w:w="108" w:type="dxa"/>
              <w:bottom w:w="0" w:type="dxa"/>
              <w:right w:w="108" w:type="dxa"/>
            </w:tcMar>
            <w:vAlign w:val="center"/>
          </w:tcPr>
          <w:p w:rsidR="00615E27" w:rsidRPr="007D5DC8" w:rsidRDefault="00615E27" w:rsidP="00EB05E9">
            <w:pPr>
              <w:spacing w:line="276" w:lineRule="auto"/>
              <w:ind w:left="70"/>
              <w:jc w:val="both"/>
              <w:rPr>
                <w:rFonts w:ascii="Arial" w:hAnsi="Arial"/>
                <w:b/>
                <w:bCs/>
                <w:sz w:val="18"/>
                <w:szCs w:val="18"/>
                <w:lang w:eastAsia="fr-LU"/>
              </w:rPr>
            </w:pPr>
          </w:p>
        </w:tc>
        <w:tc>
          <w:tcPr>
            <w:tcW w:w="1809" w:type="dxa"/>
            <w:tcMar>
              <w:top w:w="0" w:type="dxa"/>
              <w:left w:w="108" w:type="dxa"/>
              <w:bottom w:w="0" w:type="dxa"/>
              <w:right w:w="108" w:type="dxa"/>
            </w:tcMar>
            <w:vAlign w:val="center"/>
          </w:tcPr>
          <w:p w:rsidR="00615E27" w:rsidRPr="007D5DC8" w:rsidRDefault="00615E27" w:rsidP="00EB05E9">
            <w:pPr>
              <w:spacing w:line="276" w:lineRule="auto"/>
              <w:ind w:left="70"/>
              <w:jc w:val="both"/>
              <w:rPr>
                <w:rFonts w:ascii="Arial" w:hAnsi="Arial"/>
                <w:b/>
                <w:bCs/>
                <w:sz w:val="18"/>
                <w:szCs w:val="18"/>
                <w:lang w:eastAsia="fr-LU"/>
              </w:rPr>
            </w:pPr>
            <w:r w:rsidRPr="007D5DC8">
              <w:rPr>
                <w:rFonts w:ascii="Arial" w:hAnsi="Arial"/>
                <w:b/>
                <w:bCs/>
                <w:sz w:val="18"/>
                <w:szCs w:val="18"/>
                <w:lang w:eastAsia="fr-LU"/>
              </w:rPr>
              <w:t>en valeur</w:t>
            </w:r>
          </w:p>
        </w:tc>
        <w:tc>
          <w:tcPr>
            <w:tcW w:w="1121" w:type="dxa"/>
            <w:vAlign w:val="center"/>
          </w:tcPr>
          <w:p w:rsidR="00615E27" w:rsidRPr="007D5DC8" w:rsidRDefault="00615E27" w:rsidP="00EB05E9">
            <w:pPr>
              <w:spacing w:line="276" w:lineRule="auto"/>
              <w:ind w:left="70"/>
              <w:jc w:val="both"/>
              <w:rPr>
                <w:rFonts w:ascii="Arial" w:hAnsi="Arial"/>
                <w:b/>
                <w:bCs/>
                <w:sz w:val="18"/>
                <w:szCs w:val="18"/>
                <w:lang w:eastAsia="fr-LU"/>
              </w:rPr>
            </w:pPr>
            <w:r w:rsidRPr="007D5DC8">
              <w:rPr>
                <w:rFonts w:ascii="Arial" w:hAnsi="Arial"/>
                <w:b/>
                <w:bCs/>
                <w:sz w:val="18"/>
                <w:szCs w:val="18"/>
                <w:lang w:eastAsia="fr-LU"/>
              </w:rPr>
              <w:t>en %</w:t>
            </w:r>
          </w:p>
        </w:tc>
      </w:tr>
      <w:tr w:rsidR="00615E27" w:rsidRPr="007D5DC8" w:rsidTr="00EB05E9">
        <w:trPr>
          <w:cantSplit/>
        </w:trPr>
        <w:tc>
          <w:tcPr>
            <w:tcW w:w="1701" w:type="dxa"/>
            <w:tcMar>
              <w:top w:w="0" w:type="dxa"/>
              <w:left w:w="108" w:type="dxa"/>
              <w:bottom w:w="0" w:type="dxa"/>
              <w:right w:w="108" w:type="dxa"/>
            </w:tcMar>
          </w:tcPr>
          <w:p w:rsidR="00615E27" w:rsidRPr="007D5DC8" w:rsidRDefault="00615E27" w:rsidP="00EB05E9">
            <w:pPr>
              <w:spacing w:line="276" w:lineRule="auto"/>
              <w:ind w:left="70"/>
              <w:jc w:val="both"/>
              <w:rPr>
                <w:rFonts w:ascii="Arial" w:hAnsi="Arial"/>
                <w:sz w:val="18"/>
                <w:szCs w:val="18"/>
                <w:lang w:eastAsia="fr-LU"/>
              </w:rPr>
            </w:pPr>
            <w:r w:rsidRPr="007D5DC8">
              <w:rPr>
                <w:rFonts w:ascii="Arial" w:hAnsi="Arial"/>
                <w:sz w:val="18"/>
                <w:szCs w:val="18"/>
                <w:lang w:eastAsia="fr-LU"/>
              </w:rPr>
              <w:t>Recettes</w:t>
            </w:r>
            <w:r w:rsidRPr="007D5DC8">
              <w:rPr>
                <w:rFonts w:ascii="Arial" w:hAnsi="Arial"/>
                <w:sz w:val="18"/>
                <w:szCs w:val="18"/>
                <w:lang w:eastAsia="fr-LU"/>
              </w:rPr>
              <w:br/>
              <w:t>- courantes</w:t>
            </w:r>
          </w:p>
          <w:p w:rsidR="00615E27" w:rsidRPr="007D5DC8" w:rsidRDefault="00615E27" w:rsidP="00EB05E9">
            <w:pPr>
              <w:spacing w:line="276" w:lineRule="auto"/>
              <w:ind w:left="70"/>
              <w:jc w:val="both"/>
              <w:rPr>
                <w:rFonts w:ascii="Arial" w:hAnsi="Arial"/>
                <w:sz w:val="18"/>
                <w:szCs w:val="18"/>
                <w:lang w:eastAsia="fr-LU"/>
              </w:rPr>
            </w:pPr>
            <w:r w:rsidRPr="007D5DC8">
              <w:rPr>
                <w:rFonts w:ascii="Arial" w:hAnsi="Arial"/>
                <w:sz w:val="18"/>
                <w:szCs w:val="18"/>
                <w:lang w:eastAsia="fr-LU"/>
              </w:rPr>
              <w:t>- en capital</w:t>
            </w:r>
          </w:p>
        </w:tc>
        <w:tc>
          <w:tcPr>
            <w:tcW w:w="1985" w:type="dxa"/>
            <w:tcMar>
              <w:top w:w="0" w:type="dxa"/>
              <w:left w:w="108" w:type="dxa"/>
              <w:bottom w:w="0" w:type="dxa"/>
              <w:right w:w="108" w:type="dxa"/>
            </w:tcMar>
          </w:tcPr>
          <w:p w:rsidR="00615E27" w:rsidRPr="007D5DC8" w:rsidRDefault="00615E27" w:rsidP="00EB05E9">
            <w:pPr>
              <w:spacing w:line="276" w:lineRule="auto"/>
              <w:ind w:left="70"/>
              <w:jc w:val="both"/>
              <w:rPr>
                <w:rFonts w:ascii="Arial" w:hAnsi="Arial"/>
                <w:sz w:val="18"/>
                <w:szCs w:val="18"/>
                <w:lang w:eastAsia="fr-LU"/>
              </w:rPr>
            </w:pPr>
            <w:r w:rsidRPr="007D5DC8">
              <w:rPr>
                <w:rFonts w:ascii="Arial" w:hAnsi="Arial"/>
                <w:sz w:val="18"/>
                <w:szCs w:val="18"/>
                <w:lang w:eastAsia="fr-LU"/>
              </w:rPr>
              <w:br/>
              <w:t>12.976.352.372,00</w:t>
            </w:r>
            <w:r w:rsidRPr="007D5DC8">
              <w:rPr>
                <w:rFonts w:ascii="Arial" w:hAnsi="Arial"/>
                <w:sz w:val="18"/>
                <w:szCs w:val="18"/>
                <w:lang w:eastAsia="fr-LU"/>
              </w:rPr>
              <w:br/>
              <w:t xml:space="preserve">       90.214.500,00</w:t>
            </w:r>
          </w:p>
        </w:tc>
        <w:tc>
          <w:tcPr>
            <w:tcW w:w="1984" w:type="dxa"/>
            <w:tcMar>
              <w:top w:w="0" w:type="dxa"/>
              <w:left w:w="108" w:type="dxa"/>
              <w:bottom w:w="0" w:type="dxa"/>
              <w:right w:w="108" w:type="dxa"/>
            </w:tcMar>
          </w:tcPr>
          <w:p w:rsidR="00615E27" w:rsidRPr="007D5DC8" w:rsidRDefault="00615E27" w:rsidP="00EB05E9">
            <w:pPr>
              <w:spacing w:line="276" w:lineRule="auto"/>
              <w:ind w:left="70"/>
              <w:jc w:val="both"/>
              <w:rPr>
                <w:rFonts w:ascii="Arial" w:hAnsi="Arial"/>
                <w:sz w:val="18"/>
                <w:szCs w:val="18"/>
                <w:lang w:eastAsia="fr-LU"/>
              </w:rPr>
            </w:pPr>
            <w:r w:rsidRPr="007D5DC8">
              <w:rPr>
                <w:rFonts w:ascii="Arial" w:hAnsi="Arial"/>
                <w:sz w:val="18"/>
                <w:szCs w:val="18"/>
                <w:lang w:eastAsia="fr-LU"/>
              </w:rPr>
              <w:br/>
              <w:t>13.228.405.016,08</w:t>
            </w:r>
            <w:r w:rsidRPr="007D5DC8">
              <w:rPr>
                <w:rFonts w:ascii="Arial" w:hAnsi="Arial"/>
                <w:sz w:val="18"/>
                <w:szCs w:val="18"/>
                <w:lang w:eastAsia="fr-LU"/>
              </w:rPr>
              <w:br/>
              <w:t xml:space="preserve">     189.141.291,47</w:t>
            </w:r>
          </w:p>
        </w:tc>
        <w:tc>
          <w:tcPr>
            <w:tcW w:w="1809" w:type="dxa"/>
            <w:tcMar>
              <w:top w:w="0" w:type="dxa"/>
              <w:left w:w="108" w:type="dxa"/>
              <w:bottom w:w="0" w:type="dxa"/>
              <w:right w:w="108" w:type="dxa"/>
            </w:tcMar>
          </w:tcPr>
          <w:p w:rsidR="00615E27" w:rsidRPr="007D5DC8" w:rsidRDefault="00615E27" w:rsidP="00EB05E9">
            <w:pPr>
              <w:spacing w:line="276" w:lineRule="auto"/>
              <w:ind w:left="70"/>
              <w:jc w:val="both"/>
              <w:rPr>
                <w:rFonts w:ascii="Arial" w:hAnsi="Arial"/>
                <w:sz w:val="18"/>
                <w:szCs w:val="18"/>
                <w:lang w:eastAsia="fr-LU"/>
              </w:rPr>
            </w:pPr>
            <w:r w:rsidRPr="007D5DC8">
              <w:rPr>
                <w:rFonts w:ascii="Arial" w:hAnsi="Arial"/>
                <w:sz w:val="18"/>
                <w:szCs w:val="18"/>
                <w:lang w:eastAsia="fr-LU"/>
              </w:rPr>
              <w:br/>
              <w:t>252.052.644,08</w:t>
            </w:r>
            <w:r w:rsidRPr="007D5DC8">
              <w:rPr>
                <w:rFonts w:ascii="Arial" w:hAnsi="Arial"/>
                <w:sz w:val="18"/>
                <w:szCs w:val="18"/>
                <w:lang w:eastAsia="fr-LU"/>
              </w:rPr>
              <w:br/>
              <w:t xml:space="preserve">  98.926.791,47</w:t>
            </w:r>
          </w:p>
        </w:tc>
        <w:tc>
          <w:tcPr>
            <w:tcW w:w="1121" w:type="dxa"/>
            <w:tcMar>
              <w:top w:w="0" w:type="dxa"/>
              <w:left w:w="108" w:type="dxa"/>
              <w:bottom w:w="0" w:type="dxa"/>
              <w:right w:w="108" w:type="dxa"/>
            </w:tcMar>
          </w:tcPr>
          <w:p w:rsidR="00615E27" w:rsidRPr="007D5DC8" w:rsidRDefault="00615E27" w:rsidP="00EB05E9">
            <w:pPr>
              <w:spacing w:line="276" w:lineRule="auto"/>
              <w:ind w:left="70" w:right="-123"/>
              <w:jc w:val="both"/>
              <w:rPr>
                <w:rFonts w:ascii="Arial" w:hAnsi="Arial"/>
                <w:sz w:val="18"/>
                <w:szCs w:val="18"/>
                <w:lang w:eastAsia="fr-LU"/>
              </w:rPr>
            </w:pPr>
            <w:r w:rsidRPr="007D5DC8">
              <w:rPr>
                <w:rFonts w:ascii="Arial" w:hAnsi="Arial"/>
                <w:sz w:val="18"/>
                <w:szCs w:val="18"/>
                <w:lang w:eastAsia="fr-LU"/>
              </w:rPr>
              <w:br/>
              <w:t xml:space="preserve">   1,94%</w:t>
            </w:r>
          </w:p>
          <w:p w:rsidR="00615E27" w:rsidRPr="007D5DC8" w:rsidRDefault="00615E27" w:rsidP="00EB05E9">
            <w:pPr>
              <w:spacing w:line="276" w:lineRule="auto"/>
              <w:ind w:left="70"/>
              <w:jc w:val="both"/>
              <w:rPr>
                <w:rFonts w:ascii="Arial" w:hAnsi="Arial"/>
                <w:sz w:val="18"/>
                <w:szCs w:val="18"/>
                <w:lang w:eastAsia="fr-LU"/>
              </w:rPr>
            </w:pPr>
            <w:r w:rsidRPr="007D5DC8">
              <w:rPr>
                <w:rFonts w:ascii="Arial" w:hAnsi="Arial"/>
                <w:sz w:val="18"/>
                <w:szCs w:val="18"/>
                <w:lang w:eastAsia="fr-LU"/>
              </w:rPr>
              <w:t>109,66%</w:t>
            </w:r>
          </w:p>
        </w:tc>
      </w:tr>
      <w:tr w:rsidR="00615E27" w:rsidRPr="007D5DC8" w:rsidTr="00EB05E9">
        <w:trPr>
          <w:cantSplit/>
        </w:trPr>
        <w:tc>
          <w:tcPr>
            <w:tcW w:w="1701" w:type="dxa"/>
            <w:tcMar>
              <w:top w:w="0" w:type="dxa"/>
              <w:left w:w="108" w:type="dxa"/>
              <w:bottom w:w="0" w:type="dxa"/>
              <w:right w:w="108" w:type="dxa"/>
            </w:tcMar>
          </w:tcPr>
          <w:p w:rsidR="00615E27" w:rsidRPr="007D5DC8" w:rsidRDefault="00615E27" w:rsidP="00EB05E9">
            <w:pPr>
              <w:spacing w:line="276" w:lineRule="auto"/>
              <w:ind w:left="70"/>
              <w:jc w:val="both"/>
              <w:rPr>
                <w:rFonts w:ascii="Arial" w:hAnsi="Arial"/>
                <w:sz w:val="18"/>
                <w:szCs w:val="18"/>
                <w:lang w:eastAsia="fr-LU"/>
              </w:rPr>
            </w:pPr>
            <w:r w:rsidRPr="007D5DC8">
              <w:rPr>
                <w:rFonts w:ascii="Arial" w:hAnsi="Arial"/>
                <w:sz w:val="18"/>
                <w:szCs w:val="18"/>
                <w:lang w:eastAsia="fr-LU"/>
              </w:rPr>
              <w:t>Total recettes (1)</w:t>
            </w:r>
          </w:p>
        </w:tc>
        <w:tc>
          <w:tcPr>
            <w:tcW w:w="1985" w:type="dxa"/>
            <w:tcMar>
              <w:top w:w="0" w:type="dxa"/>
              <w:left w:w="108" w:type="dxa"/>
              <w:bottom w:w="0" w:type="dxa"/>
              <w:right w:w="108" w:type="dxa"/>
            </w:tcMar>
          </w:tcPr>
          <w:p w:rsidR="00615E27" w:rsidRPr="007D5DC8" w:rsidRDefault="00615E27" w:rsidP="00EB05E9">
            <w:pPr>
              <w:spacing w:line="276" w:lineRule="auto"/>
              <w:ind w:left="70"/>
              <w:jc w:val="both"/>
              <w:rPr>
                <w:rFonts w:ascii="Arial" w:hAnsi="Arial"/>
                <w:sz w:val="18"/>
                <w:szCs w:val="18"/>
                <w:lang w:eastAsia="fr-LU"/>
              </w:rPr>
            </w:pPr>
            <w:r w:rsidRPr="007D5DC8">
              <w:rPr>
                <w:rFonts w:ascii="Arial" w:hAnsi="Arial"/>
                <w:sz w:val="18"/>
                <w:szCs w:val="18"/>
                <w:lang w:eastAsia="fr-LU"/>
              </w:rPr>
              <w:t>13.066.566.872,00</w:t>
            </w:r>
          </w:p>
        </w:tc>
        <w:tc>
          <w:tcPr>
            <w:tcW w:w="1984" w:type="dxa"/>
            <w:tcMar>
              <w:top w:w="0" w:type="dxa"/>
              <w:left w:w="108" w:type="dxa"/>
              <w:bottom w:w="0" w:type="dxa"/>
              <w:right w:w="108" w:type="dxa"/>
            </w:tcMar>
          </w:tcPr>
          <w:p w:rsidR="00615E27" w:rsidRPr="007D5DC8" w:rsidRDefault="00615E27" w:rsidP="00EB05E9">
            <w:pPr>
              <w:spacing w:line="276" w:lineRule="auto"/>
              <w:ind w:left="70"/>
              <w:jc w:val="both"/>
              <w:rPr>
                <w:rFonts w:ascii="Arial" w:hAnsi="Arial"/>
                <w:sz w:val="18"/>
                <w:szCs w:val="18"/>
                <w:lang w:eastAsia="fr-LU"/>
              </w:rPr>
            </w:pPr>
            <w:r w:rsidRPr="007D5DC8">
              <w:rPr>
                <w:rFonts w:ascii="Arial" w:hAnsi="Arial"/>
                <w:sz w:val="18"/>
                <w:szCs w:val="18"/>
                <w:lang w:eastAsia="fr-LU"/>
              </w:rPr>
              <w:t>13.417.546.307,55</w:t>
            </w:r>
          </w:p>
        </w:tc>
        <w:tc>
          <w:tcPr>
            <w:tcW w:w="1809" w:type="dxa"/>
            <w:tcMar>
              <w:top w:w="0" w:type="dxa"/>
              <w:left w:w="108" w:type="dxa"/>
              <w:bottom w:w="0" w:type="dxa"/>
              <w:right w:w="108" w:type="dxa"/>
            </w:tcMar>
          </w:tcPr>
          <w:p w:rsidR="00615E27" w:rsidRPr="007D5DC8" w:rsidRDefault="00615E27" w:rsidP="00EB05E9">
            <w:pPr>
              <w:spacing w:line="276" w:lineRule="auto"/>
              <w:ind w:left="70"/>
              <w:jc w:val="both"/>
              <w:rPr>
                <w:rFonts w:ascii="Arial" w:hAnsi="Arial"/>
                <w:sz w:val="18"/>
                <w:szCs w:val="18"/>
                <w:lang w:eastAsia="fr-LU"/>
              </w:rPr>
            </w:pPr>
            <w:r w:rsidRPr="007D5DC8">
              <w:rPr>
                <w:rFonts w:ascii="Arial" w:hAnsi="Arial"/>
                <w:sz w:val="18"/>
                <w:szCs w:val="18"/>
                <w:lang w:eastAsia="fr-LU"/>
              </w:rPr>
              <w:t>350.979.435,55</w:t>
            </w:r>
          </w:p>
        </w:tc>
        <w:tc>
          <w:tcPr>
            <w:tcW w:w="1121" w:type="dxa"/>
            <w:tcMar>
              <w:top w:w="0" w:type="dxa"/>
              <w:left w:w="108" w:type="dxa"/>
              <w:bottom w:w="0" w:type="dxa"/>
              <w:right w:w="108" w:type="dxa"/>
            </w:tcMar>
          </w:tcPr>
          <w:p w:rsidR="00615E27" w:rsidRPr="007D5DC8" w:rsidRDefault="00615E27" w:rsidP="00EB05E9">
            <w:pPr>
              <w:spacing w:line="276" w:lineRule="auto"/>
              <w:ind w:left="70"/>
              <w:jc w:val="both"/>
              <w:rPr>
                <w:rFonts w:ascii="Arial" w:hAnsi="Arial"/>
                <w:sz w:val="18"/>
                <w:szCs w:val="18"/>
                <w:lang w:eastAsia="fr-LU"/>
              </w:rPr>
            </w:pPr>
            <w:r w:rsidRPr="007D5DC8">
              <w:rPr>
                <w:rFonts w:ascii="Arial" w:hAnsi="Arial"/>
                <w:sz w:val="18"/>
                <w:szCs w:val="18"/>
                <w:lang w:eastAsia="fr-LU"/>
              </w:rPr>
              <w:t xml:space="preserve">    2,69%</w:t>
            </w:r>
          </w:p>
        </w:tc>
      </w:tr>
      <w:tr w:rsidR="00615E27" w:rsidRPr="007D5DC8" w:rsidTr="00EB05E9">
        <w:trPr>
          <w:cantSplit/>
        </w:trPr>
        <w:tc>
          <w:tcPr>
            <w:tcW w:w="1701" w:type="dxa"/>
            <w:tcMar>
              <w:top w:w="0" w:type="dxa"/>
              <w:left w:w="108" w:type="dxa"/>
              <w:bottom w:w="0" w:type="dxa"/>
              <w:right w:w="108" w:type="dxa"/>
            </w:tcMar>
          </w:tcPr>
          <w:p w:rsidR="00615E27" w:rsidRPr="007D5DC8" w:rsidRDefault="00615E27" w:rsidP="00EB05E9">
            <w:pPr>
              <w:spacing w:line="276" w:lineRule="auto"/>
              <w:ind w:left="70"/>
              <w:jc w:val="both"/>
              <w:rPr>
                <w:rFonts w:ascii="Arial" w:hAnsi="Arial"/>
                <w:sz w:val="18"/>
                <w:szCs w:val="18"/>
                <w:lang w:eastAsia="fr-LU"/>
              </w:rPr>
            </w:pPr>
            <w:r w:rsidRPr="007D5DC8">
              <w:rPr>
                <w:rFonts w:ascii="Arial" w:hAnsi="Arial"/>
                <w:sz w:val="18"/>
                <w:szCs w:val="18"/>
                <w:lang w:eastAsia="fr-LU"/>
              </w:rPr>
              <w:t>Dépenses</w:t>
            </w:r>
          </w:p>
          <w:p w:rsidR="00615E27" w:rsidRPr="007D5DC8" w:rsidRDefault="00615E27" w:rsidP="00EB05E9">
            <w:pPr>
              <w:spacing w:line="276" w:lineRule="auto"/>
              <w:ind w:left="70"/>
              <w:jc w:val="both"/>
              <w:rPr>
                <w:rFonts w:ascii="Arial" w:hAnsi="Arial"/>
                <w:sz w:val="18"/>
                <w:szCs w:val="18"/>
                <w:lang w:eastAsia="fr-LU"/>
              </w:rPr>
            </w:pPr>
            <w:r w:rsidRPr="007D5DC8">
              <w:rPr>
                <w:rFonts w:ascii="Arial" w:hAnsi="Arial"/>
                <w:sz w:val="18"/>
                <w:szCs w:val="18"/>
                <w:lang w:eastAsia="fr-LU"/>
              </w:rPr>
              <w:t>- courantes</w:t>
            </w:r>
          </w:p>
          <w:p w:rsidR="00615E27" w:rsidRPr="007D5DC8" w:rsidRDefault="00615E27" w:rsidP="00EB05E9">
            <w:pPr>
              <w:spacing w:line="276" w:lineRule="auto"/>
              <w:ind w:left="70"/>
              <w:jc w:val="both"/>
              <w:rPr>
                <w:rFonts w:ascii="Arial" w:hAnsi="Arial"/>
                <w:sz w:val="18"/>
                <w:szCs w:val="18"/>
                <w:lang w:eastAsia="fr-LU"/>
              </w:rPr>
            </w:pPr>
            <w:r w:rsidRPr="007D5DC8">
              <w:rPr>
                <w:rFonts w:ascii="Arial" w:hAnsi="Arial"/>
                <w:sz w:val="18"/>
                <w:szCs w:val="18"/>
                <w:lang w:eastAsia="fr-LU"/>
              </w:rPr>
              <w:t>- en capital</w:t>
            </w:r>
          </w:p>
        </w:tc>
        <w:tc>
          <w:tcPr>
            <w:tcW w:w="1985" w:type="dxa"/>
            <w:tcMar>
              <w:top w:w="0" w:type="dxa"/>
              <w:left w:w="108" w:type="dxa"/>
              <w:bottom w:w="0" w:type="dxa"/>
              <w:right w:w="108" w:type="dxa"/>
            </w:tcMar>
          </w:tcPr>
          <w:p w:rsidR="00615E27" w:rsidRPr="007D5DC8" w:rsidRDefault="00615E27" w:rsidP="00EB05E9">
            <w:pPr>
              <w:spacing w:line="276" w:lineRule="auto"/>
              <w:ind w:left="70"/>
              <w:jc w:val="both"/>
              <w:rPr>
                <w:rFonts w:ascii="Arial" w:hAnsi="Arial"/>
                <w:sz w:val="18"/>
                <w:szCs w:val="18"/>
                <w:lang w:eastAsia="fr-LU"/>
              </w:rPr>
            </w:pPr>
            <w:r w:rsidRPr="007D5DC8">
              <w:rPr>
                <w:rFonts w:ascii="Arial" w:hAnsi="Arial"/>
                <w:sz w:val="18"/>
                <w:szCs w:val="18"/>
                <w:lang w:eastAsia="fr-LU"/>
              </w:rPr>
              <w:br/>
              <w:t>12.174.626.808,00</w:t>
            </w:r>
            <w:r w:rsidRPr="007D5DC8">
              <w:rPr>
                <w:rFonts w:ascii="Arial" w:hAnsi="Arial"/>
                <w:sz w:val="18"/>
                <w:szCs w:val="18"/>
                <w:lang w:eastAsia="fr-LU"/>
              </w:rPr>
              <w:br/>
              <w:t xml:space="preserve">  1.330.180.729,00</w:t>
            </w:r>
          </w:p>
        </w:tc>
        <w:tc>
          <w:tcPr>
            <w:tcW w:w="1984" w:type="dxa"/>
            <w:tcMar>
              <w:top w:w="0" w:type="dxa"/>
              <w:left w:w="108" w:type="dxa"/>
              <w:bottom w:w="0" w:type="dxa"/>
              <w:right w:w="108" w:type="dxa"/>
            </w:tcMar>
          </w:tcPr>
          <w:p w:rsidR="00615E27" w:rsidRPr="007D5DC8" w:rsidRDefault="00615E27" w:rsidP="00EB05E9">
            <w:pPr>
              <w:spacing w:line="276" w:lineRule="auto"/>
              <w:ind w:left="70"/>
              <w:jc w:val="both"/>
              <w:rPr>
                <w:rFonts w:ascii="Arial" w:hAnsi="Arial"/>
                <w:sz w:val="18"/>
                <w:szCs w:val="18"/>
                <w:lang w:eastAsia="fr-LU"/>
              </w:rPr>
            </w:pPr>
            <w:r w:rsidRPr="007D5DC8">
              <w:rPr>
                <w:rFonts w:ascii="Arial" w:hAnsi="Arial"/>
                <w:sz w:val="18"/>
                <w:szCs w:val="18"/>
                <w:lang w:eastAsia="fr-LU"/>
              </w:rPr>
              <w:br/>
              <w:t>12.131.229.582,05</w:t>
            </w:r>
            <w:r w:rsidRPr="007D5DC8">
              <w:rPr>
                <w:rFonts w:ascii="Arial" w:hAnsi="Arial"/>
                <w:sz w:val="18"/>
                <w:szCs w:val="18"/>
                <w:lang w:eastAsia="fr-LU"/>
              </w:rPr>
              <w:br/>
              <w:t xml:space="preserve">  2.578.936.914,42</w:t>
            </w:r>
          </w:p>
        </w:tc>
        <w:tc>
          <w:tcPr>
            <w:tcW w:w="1809" w:type="dxa"/>
            <w:tcMar>
              <w:top w:w="0" w:type="dxa"/>
              <w:left w:w="108" w:type="dxa"/>
              <w:bottom w:w="0" w:type="dxa"/>
              <w:right w:w="108" w:type="dxa"/>
            </w:tcMar>
          </w:tcPr>
          <w:p w:rsidR="00615E27" w:rsidRPr="007D5DC8" w:rsidRDefault="00615E27" w:rsidP="00EB05E9">
            <w:pPr>
              <w:spacing w:line="276" w:lineRule="auto"/>
              <w:ind w:left="70"/>
              <w:jc w:val="both"/>
              <w:rPr>
                <w:rFonts w:ascii="Arial" w:hAnsi="Arial"/>
                <w:sz w:val="18"/>
                <w:szCs w:val="18"/>
                <w:lang w:eastAsia="fr-LU"/>
              </w:rPr>
            </w:pPr>
            <w:r w:rsidRPr="007D5DC8">
              <w:rPr>
                <w:rFonts w:ascii="Arial" w:hAnsi="Arial"/>
                <w:sz w:val="18"/>
                <w:szCs w:val="18"/>
                <w:lang w:eastAsia="fr-LU"/>
              </w:rPr>
              <w:br/>
              <w:t>-43.397.225,95</w:t>
            </w:r>
          </w:p>
          <w:p w:rsidR="00615E27" w:rsidRPr="007D5DC8" w:rsidRDefault="00615E27" w:rsidP="00EB05E9">
            <w:pPr>
              <w:spacing w:line="276" w:lineRule="auto"/>
              <w:ind w:left="70"/>
              <w:jc w:val="both"/>
              <w:rPr>
                <w:rFonts w:ascii="Arial" w:hAnsi="Arial"/>
                <w:sz w:val="18"/>
                <w:szCs w:val="18"/>
                <w:lang w:eastAsia="fr-LU"/>
              </w:rPr>
            </w:pPr>
            <w:r w:rsidRPr="007D5DC8">
              <w:rPr>
                <w:rFonts w:ascii="Arial" w:hAnsi="Arial"/>
                <w:sz w:val="18"/>
                <w:szCs w:val="18"/>
                <w:lang w:eastAsia="fr-LU"/>
              </w:rPr>
              <w:t xml:space="preserve">  1.248.756.185,42</w:t>
            </w:r>
          </w:p>
        </w:tc>
        <w:tc>
          <w:tcPr>
            <w:tcW w:w="1121" w:type="dxa"/>
            <w:tcMar>
              <w:top w:w="0" w:type="dxa"/>
              <w:left w:w="108" w:type="dxa"/>
              <w:bottom w:w="0" w:type="dxa"/>
              <w:right w:w="108" w:type="dxa"/>
            </w:tcMar>
          </w:tcPr>
          <w:p w:rsidR="00615E27" w:rsidRPr="007D5DC8" w:rsidRDefault="00615E27" w:rsidP="00EB05E9">
            <w:pPr>
              <w:spacing w:line="276" w:lineRule="auto"/>
              <w:ind w:left="70"/>
              <w:jc w:val="both"/>
              <w:rPr>
                <w:rFonts w:ascii="Arial" w:hAnsi="Arial"/>
                <w:sz w:val="18"/>
                <w:szCs w:val="18"/>
                <w:lang w:eastAsia="fr-LU"/>
              </w:rPr>
            </w:pPr>
            <w:r w:rsidRPr="007D5DC8">
              <w:rPr>
                <w:rFonts w:ascii="Arial" w:hAnsi="Arial"/>
                <w:sz w:val="18"/>
                <w:szCs w:val="18"/>
                <w:lang w:eastAsia="fr-LU"/>
              </w:rPr>
              <w:br/>
              <w:t>-0,36%</w:t>
            </w:r>
            <w:r w:rsidRPr="007D5DC8">
              <w:rPr>
                <w:rFonts w:ascii="Arial" w:hAnsi="Arial"/>
                <w:sz w:val="18"/>
                <w:szCs w:val="18"/>
                <w:lang w:eastAsia="fr-LU"/>
              </w:rPr>
              <w:br/>
              <w:t>93,88%</w:t>
            </w:r>
          </w:p>
        </w:tc>
      </w:tr>
      <w:tr w:rsidR="00615E27" w:rsidRPr="007D5DC8" w:rsidTr="00EB05E9">
        <w:trPr>
          <w:cantSplit/>
          <w:trHeight w:val="275"/>
        </w:trPr>
        <w:tc>
          <w:tcPr>
            <w:tcW w:w="1701" w:type="dxa"/>
            <w:tcMar>
              <w:top w:w="0" w:type="dxa"/>
              <w:left w:w="108" w:type="dxa"/>
              <w:bottom w:w="0" w:type="dxa"/>
              <w:right w:w="108" w:type="dxa"/>
            </w:tcMar>
          </w:tcPr>
          <w:p w:rsidR="00615E27" w:rsidRPr="007D5DC8" w:rsidRDefault="00615E27" w:rsidP="00EB05E9">
            <w:pPr>
              <w:spacing w:line="276" w:lineRule="auto"/>
              <w:ind w:left="70"/>
              <w:rPr>
                <w:rFonts w:ascii="Arial" w:hAnsi="Arial"/>
                <w:sz w:val="18"/>
                <w:szCs w:val="18"/>
                <w:lang w:eastAsia="fr-LU"/>
              </w:rPr>
            </w:pPr>
            <w:r w:rsidRPr="007D5DC8">
              <w:rPr>
                <w:rFonts w:ascii="Arial" w:hAnsi="Arial"/>
                <w:sz w:val="18"/>
                <w:szCs w:val="18"/>
                <w:lang w:eastAsia="fr-LU"/>
              </w:rPr>
              <w:t>Total dépenses (2)</w:t>
            </w:r>
          </w:p>
        </w:tc>
        <w:tc>
          <w:tcPr>
            <w:tcW w:w="1985" w:type="dxa"/>
            <w:tcMar>
              <w:top w:w="0" w:type="dxa"/>
              <w:left w:w="108" w:type="dxa"/>
              <w:bottom w:w="0" w:type="dxa"/>
              <w:right w:w="108" w:type="dxa"/>
            </w:tcMar>
          </w:tcPr>
          <w:p w:rsidR="00615E27" w:rsidRPr="007D5DC8" w:rsidRDefault="00615E27" w:rsidP="00EB05E9">
            <w:pPr>
              <w:spacing w:line="276" w:lineRule="auto"/>
              <w:ind w:left="70"/>
              <w:jc w:val="both"/>
              <w:rPr>
                <w:rFonts w:ascii="Arial" w:hAnsi="Arial"/>
                <w:sz w:val="18"/>
                <w:szCs w:val="18"/>
                <w:lang w:eastAsia="fr-LU"/>
              </w:rPr>
            </w:pPr>
            <w:r w:rsidRPr="007D5DC8">
              <w:rPr>
                <w:rFonts w:ascii="Arial" w:hAnsi="Arial"/>
                <w:sz w:val="18"/>
                <w:szCs w:val="18"/>
                <w:lang w:eastAsia="fr-LU"/>
              </w:rPr>
              <w:t>13.504.807.537,00</w:t>
            </w:r>
          </w:p>
        </w:tc>
        <w:tc>
          <w:tcPr>
            <w:tcW w:w="1984" w:type="dxa"/>
            <w:tcMar>
              <w:top w:w="0" w:type="dxa"/>
              <w:left w:w="108" w:type="dxa"/>
              <w:bottom w:w="0" w:type="dxa"/>
              <w:right w:w="108" w:type="dxa"/>
            </w:tcMar>
          </w:tcPr>
          <w:p w:rsidR="00615E27" w:rsidRPr="007D5DC8" w:rsidRDefault="00615E27" w:rsidP="00EB05E9">
            <w:pPr>
              <w:spacing w:line="276" w:lineRule="auto"/>
              <w:ind w:left="70"/>
              <w:jc w:val="both"/>
              <w:rPr>
                <w:rFonts w:ascii="Arial" w:hAnsi="Arial"/>
                <w:sz w:val="18"/>
                <w:szCs w:val="18"/>
                <w:lang w:eastAsia="fr-LU"/>
              </w:rPr>
            </w:pPr>
            <w:r w:rsidRPr="007D5DC8">
              <w:rPr>
                <w:rFonts w:ascii="Arial" w:hAnsi="Arial"/>
                <w:sz w:val="18"/>
                <w:szCs w:val="18"/>
                <w:lang w:eastAsia="fr-LU"/>
              </w:rPr>
              <w:t>14.710.166.496,47</w:t>
            </w:r>
          </w:p>
        </w:tc>
        <w:tc>
          <w:tcPr>
            <w:tcW w:w="1809" w:type="dxa"/>
            <w:tcMar>
              <w:top w:w="0" w:type="dxa"/>
              <w:left w:w="108" w:type="dxa"/>
              <w:bottom w:w="0" w:type="dxa"/>
              <w:right w:w="108" w:type="dxa"/>
            </w:tcMar>
          </w:tcPr>
          <w:p w:rsidR="00615E27" w:rsidRPr="007D5DC8" w:rsidRDefault="00615E27" w:rsidP="00EB05E9">
            <w:pPr>
              <w:spacing w:line="276" w:lineRule="auto"/>
              <w:ind w:left="70"/>
              <w:jc w:val="both"/>
              <w:rPr>
                <w:rFonts w:ascii="Arial" w:hAnsi="Arial"/>
                <w:sz w:val="18"/>
                <w:szCs w:val="18"/>
                <w:lang w:eastAsia="fr-LU"/>
              </w:rPr>
            </w:pPr>
            <w:r w:rsidRPr="007D5DC8">
              <w:rPr>
                <w:rFonts w:ascii="Arial" w:hAnsi="Arial"/>
                <w:sz w:val="18"/>
                <w:szCs w:val="18"/>
                <w:lang w:eastAsia="fr-LU"/>
              </w:rPr>
              <w:t>1.205.358.959,47</w:t>
            </w:r>
          </w:p>
        </w:tc>
        <w:tc>
          <w:tcPr>
            <w:tcW w:w="1121" w:type="dxa"/>
            <w:tcMar>
              <w:top w:w="0" w:type="dxa"/>
              <w:left w:w="108" w:type="dxa"/>
              <w:bottom w:w="0" w:type="dxa"/>
              <w:right w:w="108" w:type="dxa"/>
            </w:tcMar>
          </w:tcPr>
          <w:p w:rsidR="00615E27" w:rsidRPr="007D5DC8" w:rsidRDefault="00615E27" w:rsidP="00EB05E9">
            <w:pPr>
              <w:spacing w:line="276" w:lineRule="auto"/>
              <w:ind w:left="70"/>
              <w:jc w:val="both"/>
              <w:rPr>
                <w:rFonts w:ascii="Arial" w:hAnsi="Arial"/>
                <w:sz w:val="18"/>
                <w:szCs w:val="18"/>
                <w:lang w:eastAsia="fr-LU"/>
              </w:rPr>
            </w:pPr>
            <w:r w:rsidRPr="007D5DC8">
              <w:rPr>
                <w:rFonts w:ascii="Arial" w:hAnsi="Arial"/>
                <w:sz w:val="18"/>
                <w:szCs w:val="18"/>
                <w:lang w:eastAsia="fr-LU"/>
              </w:rPr>
              <w:t xml:space="preserve">  8,93%</w:t>
            </w:r>
          </w:p>
        </w:tc>
      </w:tr>
      <w:tr w:rsidR="00615E27" w:rsidRPr="007D5DC8" w:rsidTr="00EB05E9">
        <w:trPr>
          <w:cantSplit/>
        </w:trPr>
        <w:tc>
          <w:tcPr>
            <w:tcW w:w="1701" w:type="dxa"/>
            <w:tcMar>
              <w:top w:w="0" w:type="dxa"/>
              <w:left w:w="108" w:type="dxa"/>
              <w:bottom w:w="0" w:type="dxa"/>
              <w:right w:w="108" w:type="dxa"/>
            </w:tcMar>
          </w:tcPr>
          <w:p w:rsidR="00615E27" w:rsidRPr="007D5DC8" w:rsidRDefault="00615E27" w:rsidP="00EB05E9">
            <w:pPr>
              <w:spacing w:line="276" w:lineRule="auto"/>
              <w:ind w:left="70"/>
              <w:jc w:val="both"/>
              <w:rPr>
                <w:rFonts w:ascii="Arial" w:hAnsi="Arial"/>
                <w:sz w:val="18"/>
                <w:szCs w:val="18"/>
                <w:lang w:eastAsia="fr-LU"/>
              </w:rPr>
            </w:pPr>
            <w:r w:rsidRPr="007D5DC8">
              <w:rPr>
                <w:rFonts w:ascii="Arial" w:hAnsi="Arial"/>
                <w:sz w:val="18"/>
                <w:szCs w:val="18"/>
                <w:lang w:eastAsia="fr-LU"/>
              </w:rPr>
              <w:t xml:space="preserve">Excédent de </w:t>
            </w:r>
            <w:r w:rsidRPr="007D5DC8">
              <w:rPr>
                <w:rFonts w:ascii="Arial" w:hAnsi="Arial"/>
                <w:sz w:val="18"/>
                <w:szCs w:val="18"/>
                <w:lang w:eastAsia="fr-LU"/>
              </w:rPr>
              <w:br/>
              <w:t>dépenses (2) - (1)</w:t>
            </w:r>
          </w:p>
        </w:tc>
        <w:tc>
          <w:tcPr>
            <w:tcW w:w="1985" w:type="dxa"/>
            <w:tcMar>
              <w:top w:w="0" w:type="dxa"/>
              <w:left w:w="108" w:type="dxa"/>
              <w:bottom w:w="0" w:type="dxa"/>
              <w:right w:w="108" w:type="dxa"/>
            </w:tcMar>
            <w:vAlign w:val="bottom"/>
          </w:tcPr>
          <w:p w:rsidR="00615E27" w:rsidRPr="007D5DC8" w:rsidRDefault="00615E27" w:rsidP="00EB05E9">
            <w:pPr>
              <w:spacing w:line="276" w:lineRule="auto"/>
              <w:ind w:left="70"/>
              <w:jc w:val="both"/>
              <w:rPr>
                <w:rFonts w:ascii="Arial" w:hAnsi="Arial"/>
                <w:sz w:val="18"/>
                <w:szCs w:val="18"/>
                <w:lang w:eastAsia="fr-LU"/>
              </w:rPr>
            </w:pPr>
            <w:r w:rsidRPr="007D5DC8">
              <w:rPr>
                <w:rFonts w:ascii="Arial" w:hAnsi="Arial"/>
                <w:sz w:val="18"/>
                <w:szCs w:val="18"/>
                <w:lang w:eastAsia="fr-LU"/>
              </w:rPr>
              <w:t>438.240.665,00</w:t>
            </w:r>
          </w:p>
        </w:tc>
        <w:tc>
          <w:tcPr>
            <w:tcW w:w="1984" w:type="dxa"/>
            <w:tcMar>
              <w:top w:w="0" w:type="dxa"/>
              <w:left w:w="108" w:type="dxa"/>
              <w:bottom w:w="0" w:type="dxa"/>
              <w:right w:w="108" w:type="dxa"/>
            </w:tcMar>
            <w:vAlign w:val="bottom"/>
          </w:tcPr>
          <w:p w:rsidR="00615E27" w:rsidRPr="007D5DC8" w:rsidRDefault="00615E27" w:rsidP="00EB05E9">
            <w:pPr>
              <w:spacing w:line="276" w:lineRule="auto"/>
              <w:ind w:left="70"/>
              <w:jc w:val="both"/>
              <w:rPr>
                <w:rFonts w:ascii="Arial" w:hAnsi="Arial"/>
                <w:sz w:val="18"/>
                <w:szCs w:val="18"/>
                <w:lang w:eastAsia="fr-LU"/>
              </w:rPr>
            </w:pPr>
            <w:r w:rsidRPr="007D5DC8">
              <w:rPr>
                <w:rFonts w:ascii="Arial" w:hAnsi="Arial"/>
                <w:sz w:val="18"/>
                <w:szCs w:val="18"/>
                <w:lang w:eastAsia="fr-LU"/>
              </w:rPr>
              <w:t>1.292.620.188,92</w:t>
            </w:r>
          </w:p>
        </w:tc>
        <w:tc>
          <w:tcPr>
            <w:tcW w:w="1809" w:type="dxa"/>
            <w:tcMar>
              <w:top w:w="0" w:type="dxa"/>
              <w:left w:w="108" w:type="dxa"/>
              <w:bottom w:w="0" w:type="dxa"/>
              <w:right w:w="108" w:type="dxa"/>
            </w:tcMar>
            <w:vAlign w:val="bottom"/>
          </w:tcPr>
          <w:p w:rsidR="00615E27" w:rsidRPr="007D5DC8" w:rsidRDefault="00615E27" w:rsidP="00EB05E9">
            <w:pPr>
              <w:spacing w:line="276" w:lineRule="auto"/>
              <w:ind w:left="70"/>
              <w:jc w:val="both"/>
              <w:rPr>
                <w:rFonts w:ascii="Arial" w:hAnsi="Arial"/>
                <w:sz w:val="18"/>
                <w:szCs w:val="18"/>
                <w:lang w:eastAsia="fr-LU"/>
              </w:rPr>
            </w:pPr>
            <w:r w:rsidRPr="007D5DC8">
              <w:rPr>
                <w:rFonts w:ascii="Arial" w:hAnsi="Arial"/>
                <w:sz w:val="18"/>
                <w:szCs w:val="18"/>
                <w:lang w:eastAsia="fr-LU"/>
              </w:rPr>
              <w:t>854.379.523,92</w:t>
            </w:r>
          </w:p>
        </w:tc>
        <w:tc>
          <w:tcPr>
            <w:tcW w:w="1121" w:type="dxa"/>
            <w:tcMar>
              <w:top w:w="0" w:type="dxa"/>
              <w:left w:w="108" w:type="dxa"/>
              <w:bottom w:w="0" w:type="dxa"/>
              <w:right w:w="108" w:type="dxa"/>
            </w:tcMar>
            <w:vAlign w:val="bottom"/>
          </w:tcPr>
          <w:p w:rsidR="00615E27" w:rsidRPr="007D5DC8" w:rsidRDefault="00615E27" w:rsidP="00EB05E9">
            <w:pPr>
              <w:spacing w:line="276" w:lineRule="auto"/>
              <w:ind w:left="70"/>
              <w:jc w:val="both"/>
              <w:rPr>
                <w:rFonts w:ascii="Arial" w:hAnsi="Arial"/>
                <w:sz w:val="18"/>
                <w:szCs w:val="18"/>
                <w:lang w:eastAsia="fr-LU"/>
              </w:rPr>
            </w:pPr>
            <w:r w:rsidRPr="007D5DC8">
              <w:rPr>
                <w:rFonts w:ascii="Arial" w:hAnsi="Arial"/>
                <w:sz w:val="18"/>
                <w:szCs w:val="18"/>
                <w:lang w:eastAsia="fr-LU"/>
              </w:rPr>
              <w:t> </w:t>
            </w:r>
          </w:p>
        </w:tc>
      </w:tr>
    </w:tbl>
    <w:p w:rsidR="00615E27" w:rsidRPr="007D5DC8" w:rsidRDefault="00615E27" w:rsidP="00615E27">
      <w:pPr>
        <w:spacing w:line="276" w:lineRule="auto"/>
        <w:ind w:left="70"/>
        <w:jc w:val="both"/>
        <w:rPr>
          <w:rFonts w:ascii="Arial" w:hAnsi="Arial"/>
          <w:i/>
          <w:sz w:val="18"/>
          <w:szCs w:val="18"/>
          <w:lang w:eastAsia="fr-LU"/>
        </w:rPr>
      </w:pPr>
      <w:r w:rsidRPr="007D5DC8">
        <w:rPr>
          <w:rFonts w:ascii="Arial" w:hAnsi="Arial"/>
          <w:i/>
          <w:sz w:val="18"/>
          <w:szCs w:val="18"/>
          <w:lang w:eastAsia="fr-LU"/>
        </w:rPr>
        <w:t>Source chiffres: budget de l’Etat 2016, compte général 2016; tableau: Cour des comptes</w:t>
      </w:r>
    </w:p>
    <w:p w:rsidR="00615E27" w:rsidRDefault="00615E27" w:rsidP="00615E27">
      <w:pPr>
        <w:pStyle w:val="Default"/>
        <w:jc w:val="both"/>
        <w:rPr>
          <w:rFonts w:ascii="Arial" w:hAnsi="Arial" w:cs="Arial"/>
          <w:sz w:val="22"/>
          <w:szCs w:val="22"/>
        </w:rPr>
      </w:pPr>
    </w:p>
    <w:p w:rsidR="00615E27" w:rsidRDefault="00615E27" w:rsidP="00615E27">
      <w:pPr>
        <w:autoSpaceDE w:val="0"/>
        <w:autoSpaceDN w:val="0"/>
        <w:adjustRightInd w:val="0"/>
        <w:jc w:val="both"/>
        <w:rPr>
          <w:rFonts w:ascii="Arial" w:hAnsi="Arial" w:cs="Arial"/>
          <w:lang w:eastAsia="fr-LU"/>
        </w:rPr>
      </w:pPr>
      <w:r w:rsidRPr="00F958F6">
        <w:rPr>
          <w:rFonts w:ascii="Arial" w:hAnsi="Arial" w:cs="Arial"/>
          <w:lang w:eastAsia="fr-LU"/>
        </w:rPr>
        <w:t xml:space="preserve">Le compte général de l'exercice 2016 s'est clôturé avec un </w:t>
      </w:r>
      <w:r w:rsidRPr="00F958F6">
        <w:rPr>
          <w:rFonts w:ascii="Arial" w:hAnsi="Arial" w:cs="Arial"/>
          <w:u w:val="single"/>
          <w:lang w:eastAsia="fr-LU"/>
        </w:rPr>
        <w:t>déficit de 1.292,62 millions d'euros</w:t>
      </w:r>
      <w:r w:rsidRPr="00F958F6">
        <w:rPr>
          <w:rFonts w:ascii="Arial" w:hAnsi="Arial" w:cs="Arial"/>
          <w:lang w:eastAsia="fr-LU"/>
        </w:rPr>
        <w:t>, alors que le budget voté renseignait un déficit de 438,24 millions d'euros.</w:t>
      </w:r>
      <w:r w:rsidRPr="00F958F6">
        <w:rPr>
          <w:rFonts w:ascii="Arial" w:hAnsi="Arial" w:cs="Arial"/>
          <w:color w:val="C00000"/>
          <w:lang w:eastAsia="fr-LU"/>
        </w:rPr>
        <w:t xml:space="preserve"> </w:t>
      </w:r>
      <w:r w:rsidRPr="00F958F6">
        <w:rPr>
          <w:rFonts w:ascii="Arial" w:hAnsi="Arial" w:cs="Arial"/>
          <w:lang w:eastAsia="fr-LU"/>
        </w:rPr>
        <w:t>Cette différence de 854,38 millions d’euros entre le compte général et le budget voté s'explique notamment par une série d’opérations exceptionnelles, à savoir:</w:t>
      </w:r>
    </w:p>
    <w:p w:rsidR="00615E27" w:rsidRPr="00F958F6" w:rsidRDefault="00615E27" w:rsidP="00615E27">
      <w:pPr>
        <w:numPr>
          <w:ilvl w:val="0"/>
          <w:numId w:val="1"/>
        </w:numPr>
        <w:autoSpaceDE w:val="0"/>
        <w:autoSpaceDN w:val="0"/>
        <w:adjustRightInd w:val="0"/>
        <w:spacing w:after="0" w:line="240" w:lineRule="auto"/>
        <w:contextualSpacing/>
        <w:jc w:val="both"/>
        <w:rPr>
          <w:rFonts w:ascii="Arial" w:hAnsi="Arial" w:cs="Arial"/>
          <w:lang w:eastAsia="fr-LU"/>
        </w:rPr>
      </w:pPr>
      <w:bookmarkStart w:id="1" w:name="_Hlk495589161"/>
      <w:r w:rsidRPr="00F958F6">
        <w:rPr>
          <w:rFonts w:ascii="Arial" w:hAnsi="Arial" w:cs="Arial"/>
          <w:lang w:eastAsia="fr-LU"/>
        </w:rPr>
        <w:t>la comptabilisation du remboursement intégral de trois prêts bancaires, pour un montant total de 400 millions d’euros, contractés en 2006 et venus à échéance en 2016;</w:t>
      </w:r>
    </w:p>
    <w:bookmarkEnd w:id="1"/>
    <w:p w:rsidR="00615E27" w:rsidRPr="00F958F6" w:rsidRDefault="00615E27" w:rsidP="00615E27">
      <w:pPr>
        <w:numPr>
          <w:ilvl w:val="0"/>
          <w:numId w:val="1"/>
        </w:numPr>
        <w:autoSpaceDE w:val="0"/>
        <w:autoSpaceDN w:val="0"/>
        <w:adjustRightInd w:val="0"/>
        <w:spacing w:after="0" w:line="240" w:lineRule="auto"/>
        <w:contextualSpacing/>
        <w:jc w:val="both"/>
        <w:rPr>
          <w:rFonts w:ascii="Arial" w:hAnsi="Arial" w:cs="Arial"/>
          <w:lang w:eastAsia="fr-LU"/>
        </w:rPr>
      </w:pPr>
      <w:r w:rsidRPr="00F958F6">
        <w:rPr>
          <w:rFonts w:ascii="Arial" w:hAnsi="Arial" w:cs="Arial"/>
          <w:lang w:eastAsia="fr-LU"/>
        </w:rPr>
        <w:lastRenderedPageBreak/>
        <w:t xml:space="preserve">des dotations supplémentaires au profit du Fonds du rail et du Fonds des routes, étant donné que le budget voté avait initialement prévu que ces deux fonds spéciaux se voient allouer respectivement 200 et 150 millions d’euros du produit d’un emprunt obligataire à émettre au cours de l’exercice 2016; or cet emprunt n’a pas été contracté; </w:t>
      </w:r>
    </w:p>
    <w:p w:rsidR="00615E27" w:rsidRPr="00F958F6" w:rsidRDefault="00615E27" w:rsidP="00615E27">
      <w:pPr>
        <w:numPr>
          <w:ilvl w:val="0"/>
          <w:numId w:val="1"/>
        </w:numPr>
        <w:autoSpaceDE w:val="0"/>
        <w:autoSpaceDN w:val="0"/>
        <w:adjustRightInd w:val="0"/>
        <w:spacing w:after="0" w:line="240" w:lineRule="auto"/>
        <w:contextualSpacing/>
        <w:jc w:val="both"/>
        <w:rPr>
          <w:rFonts w:ascii="Arial" w:hAnsi="Arial" w:cs="Arial"/>
          <w:lang w:eastAsia="fr-LU"/>
        </w:rPr>
      </w:pPr>
      <w:bookmarkStart w:id="2" w:name="_Hlk495586318"/>
      <w:r w:rsidRPr="00F958F6">
        <w:rPr>
          <w:rFonts w:ascii="Arial" w:hAnsi="Arial" w:cs="Arial"/>
          <w:lang w:eastAsia="fr-LU"/>
        </w:rPr>
        <w:t>une augmentation des quotes-parts du Luxembourg dans le capital du Fonds monétaire international (FMI), à hauteur de 285 millions d’euros, au titre de la 14</w:t>
      </w:r>
      <w:r w:rsidRPr="00F958F6">
        <w:rPr>
          <w:rFonts w:ascii="Arial" w:hAnsi="Arial" w:cs="Arial"/>
          <w:vertAlign w:val="superscript"/>
          <w:lang w:eastAsia="fr-LU"/>
        </w:rPr>
        <w:t>e</w:t>
      </w:r>
      <w:r w:rsidRPr="00F958F6">
        <w:rPr>
          <w:rFonts w:ascii="Arial" w:hAnsi="Arial" w:cs="Arial"/>
          <w:lang w:eastAsia="fr-LU"/>
        </w:rPr>
        <w:t xml:space="preserve"> révision des quotes-parts du FMI</w:t>
      </w:r>
      <w:bookmarkEnd w:id="2"/>
      <w:r w:rsidRPr="00F958F6">
        <w:rPr>
          <w:rFonts w:ascii="Arial" w:hAnsi="Arial" w:cs="Arial"/>
          <w:lang w:eastAsia="fr-LU"/>
        </w:rPr>
        <w:t xml:space="preserve">. </w:t>
      </w:r>
    </w:p>
    <w:p w:rsidR="00615E27" w:rsidRPr="00F958F6" w:rsidRDefault="00615E27" w:rsidP="00615E27">
      <w:pPr>
        <w:ind w:left="70"/>
        <w:jc w:val="both"/>
        <w:rPr>
          <w:rFonts w:ascii="Arial" w:eastAsia="Arial" w:hAnsi="Arial" w:cs="Arial"/>
          <w:lang w:eastAsia="fr-LU"/>
        </w:rPr>
      </w:pPr>
    </w:p>
    <w:p w:rsidR="00615E27" w:rsidRPr="00F958F6" w:rsidRDefault="00615E27" w:rsidP="00615E27">
      <w:pPr>
        <w:ind w:left="70"/>
        <w:jc w:val="both"/>
        <w:rPr>
          <w:rFonts w:ascii="Arial" w:hAnsi="Arial" w:cs="Arial"/>
          <w:color w:val="000000"/>
          <w:lang w:eastAsia="fr-LU"/>
        </w:rPr>
      </w:pPr>
      <w:r w:rsidRPr="00F958F6">
        <w:rPr>
          <w:rFonts w:ascii="Arial" w:eastAsia="Arial" w:hAnsi="Arial" w:cs="Arial"/>
          <w:lang w:eastAsia="fr-LU"/>
        </w:rPr>
        <w:t>Les recettes totales effectivement encaissées en 2016 dépassent de 2,69% le montant prévu au budget voté. Ce résult</w:t>
      </w:r>
      <w:r>
        <w:rPr>
          <w:rFonts w:ascii="Arial" w:eastAsia="Arial" w:hAnsi="Arial" w:cs="Arial"/>
          <w:lang w:eastAsia="fr-LU"/>
        </w:rPr>
        <w:t>at s’explique</w:t>
      </w:r>
      <w:r w:rsidRPr="00F958F6">
        <w:rPr>
          <w:rFonts w:ascii="Arial" w:eastAsia="Arial" w:hAnsi="Arial" w:cs="Arial"/>
          <w:lang w:eastAsia="fr-LU"/>
        </w:rPr>
        <w:t xml:space="preserve"> par des recettes plus importantes que prévues</w:t>
      </w:r>
      <w:r>
        <w:rPr>
          <w:rFonts w:ascii="Arial" w:eastAsia="Arial" w:hAnsi="Arial" w:cs="Arial"/>
          <w:lang w:eastAsia="fr-LU"/>
        </w:rPr>
        <w:t>,</w:t>
      </w:r>
      <w:r w:rsidRPr="00F958F6">
        <w:rPr>
          <w:rFonts w:ascii="Arial" w:eastAsia="Arial" w:hAnsi="Arial" w:cs="Arial"/>
          <w:lang w:eastAsia="fr-LU"/>
        </w:rPr>
        <w:t xml:space="preserve"> en raison de la bonne situation conjoncturelle</w:t>
      </w:r>
      <w:r>
        <w:rPr>
          <w:rFonts w:ascii="Arial" w:eastAsia="Arial" w:hAnsi="Arial" w:cs="Arial"/>
          <w:lang w:eastAsia="fr-LU"/>
        </w:rPr>
        <w:t xml:space="preserve">. </w:t>
      </w:r>
    </w:p>
    <w:sectPr w:rsidR="00615E27" w:rsidRPr="00F958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81151"/>
    <w:multiLevelType w:val="hybridMultilevel"/>
    <w:tmpl w:val="E19EEF56"/>
    <w:lvl w:ilvl="0" w:tplc="5E1CAADA">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E27"/>
    <w:rsid w:val="005311F5"/>
    <w:rsid w:val="00615E27"/>
    <w:rsid w:val="007F33D3"/>
    <w:rsid w:val="008765CF"/>
    <w:rsid w:val="008F6D4B"/>
    <w:rsid w:val="00AA678C"/>
    <w:rsid w:val="00B25E88"/>
    <w:rsid w:val="00DC2D3C"/>
    <w:rsid w:val="00EB05E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C5C421E-BD78-406C-AA78-9AA72241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15E27"/>
    <w:pPr>
      <w:autoSpaceDE w:val="0"/>
      <w:autoSpaceDN w:val="0"/>
      <w:adjustRightInd w:val="0"/>
    </w:pPr>
    <w:rPr>
      <w:rFonts w:ascii="Garamond" w:eastAsia="Times New Roman"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DP7156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7156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/sftpecos/Dossiers_parlementaires/7156/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4DE413F-0BDB-4560-9EDD-14357AE21D85}"/>
</file>

<file path=customXml/itemProps2.xml><?xml version="1.0" encoding="utf-8"?>
<ds:datastoreItem xmlns:ds="http://schemas.openxmlformats.org/officeDocument/2006/customXml" ds:itemID="{C4176868-1248-4D23-9CA8-6C334E036426}"/>
</file>

<file path=customXml/itemProps3.xml><?xml version="1.0" encoding="utf-8"?>
<ds:datastoreItem xmlns:ds="http://schemas.openxmlformats.org/officeDocument/2006/customXml" ds:itemID="{1ACDE4BB-1732-4FD5-8714-247F3B7F233A}"/>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2392</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Francine Cocard</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