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56" w:rsidRPr="001474CE" w:rsidRDefault="001474CE" w:rsidP="001474CE">
      <w:pPr>
        <w:jc w:val="center"/>
        <w:rPr>
          <w:b/>
          <w:sz w:val="24"/>
          <w:szCs w:val="24"/>
        </w:rPr>
      </w:pPr>
      <w:bookmarkStart w:id="0" w:name="_GoBack"/>
      <w:bookmarkEnd w:id="0"/>
      <w:r w:rsidRPr="001474CE">
        <w:rPr>
          <w:b/>
          <w:sz w:val="24"/>
          <w:szCs w:val="24"/>
        </w:rPr>
        <w:t>7148</w:t>
      </w:r>
    </w:p>
    <w:p w:rsidR="001474CE" w:rsidRDefault="001474CE" w:rsidP="001474CE">
      <w:pPr>
        <w:spacing w:after="0" w:line="240" w:lineRule="auto"/>
        <w:jc w:val="center"/>
        <w:rPr>
          <w:rFonts w:ascii="Arial" w:eastAsia="Times New Roman" w:hAnsi="Arial" w:cs="Arial"/>
          <w:b/>
          <w:lang w:val="fr-FR" w:eastAsia="fr-FR"/>
        </w:rPr>
      </w:pPr>
      <w:r>
        <w:rPr>
          <w:rFonts w:ascii="Arial" w:eastAsia="Times New Roman" w:hAnsi="Arial" w:cs="Arial"/>
          <w:b/>
          <w:lang w:val="fr-FR" w:eastAsia="fr-FR"/>
        </w:rPr>
        <w:t xml:space="preserve">Projet de loi </w:t>
      </w:r>
      <w:r w:rsidRPr="001474CE">
        <w:rPr>
          <w:rFonts w:ascii="Arial" w:eastAsia="Times New Roman" w:hAnsi="Arial" w:cs="Arial"/>
          <w:b/>
          <w:lang w:val="fr-FR" w:eastAsia="fr-FR"/>
        </w:rPr>
        <w:t>portant approbation de la Convention entre le Royaume de Belgique, le Grand-Duché de Luxembourg et le Royaume des Pays-Bas concernant l’Assemblée Interparlementaire Benelux, fait à Bruxelles le 20 janvier 2015</w:t>
      </w:r>
    </w:p>
    <w:p w:rsidR="001474CE" w:rsidRDefault="001474CE" w:rsidP="001474CE">
      <w:pPr>
        <w:spacing w:after="0" w:line="240" w:lineRule="auto"/>
        <w:jc w:val="center"/>
        <w:rPr>
          <w:rFonts w:ascii="Arial" w:eastAsia="Times New Roman" w:hAnsi="Arial" w:cs="Arial"/>
          <w:b/>
          <w:lang w:val="fr-FR" w:eastAsia="fr-FR"/>
        </w:rPr>
      </w:pPr>
    </w:p>
    <w:p w:rsidR="001474CE" w:rsidRDefault="001474CE" w:rsidP="001474CE">
      <w:pPr>
        <w:spacing w:after="0" w:line="240" w:lineRule="auto"/>
        <w:jc w:val="center"/>
        <w:rPr>
          <w:rFonts w:ascii="Arial" w:eastAsia="Times New Roman" w:hAnsi="Arial" w:cs="Arial"/>
          <w:b/>
          <w:lang w:val="fr-FR" w:eastAsia="fr-FR"/>
        </w:rPr>
      </w:pPr>
    </w:p>
    <w:p w:rsidR="001474CE" w:rsidRDefault="001474CE" w:rsidP="001474CE">
      <w:pPr>
        <w:spacing w:after="0" w:line="240" w:lineRule="auto"/>
        <w:jc w:val="center"/>
      </w:pPr>
      <w:r>
        <w:rPr>
          <w:rFonts w:ascii="Arial" w:eastAsia="Times New Roman" w:hAnsi="Arial" w:cs="Arial"/>
          <w:b/>
          <w:lang w:val="fr-FR" w:eastAsia="fr-FR"/>
        </w:rPr>
        <w:t>Résumé</w:t>
      </w:r>
    </w:p>
    <w:p w:rsidR="001474CE" w:rsidRDefault="001474CE"/>
    <w:p w:rsidR="001474CE" w:rsidRPr="001474CE" w:rsidRDefault="001474CE" w:rsidP="001474CE">
      <w:pPr>
        <w:autoSpaceDE w:val="0"/>
        <w:autoSpaceDN w:val="0"/>
        <w:adjustRightInd w:val="0"/>
        <w:spacing w:after="240" w:line="240" w:lineRule="auto"/>
        <w:jc w:val="both"/>
        <w:rPr>
          <w:rFonts w:ascii="Arial" w:eastAsia="Times New Roman" w:hAnsi="Arial" w:cs="Arial"/>
          <w:lang w:val="fr-FR" w:eastAsia="fr-FR"/>
        </w:rPr>
      </w:pPr>
      <w:r w:rsidRPr="001474CE">
        <w:rPr>
          <w:rFonts w:ascii="Arial" w:eastAsia="Times New Roman" w:hAnsi="Arial" w:cs="Arial"/>
          <w:lang w:val="fr-FR" w:eastAsia="fr-FR"/>
        </w:rPr>
        <w:t>Le projet de loi sous rubrique vise à faire approuver par la Chambre des Députés la Convention entre le Royaume de Belgique, le Grand-Duché de Luxembourg et le Royaume des Pays-Bas concernant l’Assemblée Interparlementaire Benelux, fait à Bruxelles le 20 janvier 2015.</w:t>
      </w:r>
    </w:p>
    <w:p w:rsidR="001474CE" w:rsidRPr="001474CE" w:rsidRDefault="001474CE" w:rsidP="001474CE">
      <w:pPr>
        <w:autoSpaceDE w:val="0"/>
        <w:autoSpaceDN w:val="0"/>
        <w:adjustRightInd w:val="0"/>
        <w:spacing w:after="240" w:line="240" w:lineRule="auto"/>
        <w:jc w:val="both"/>
        <w:rPr>
          <w:rFonts w:ascii="Arial" w:eastAsia="Times New Roman" w:hAnsi="Arial" w:cs="Arial"/>
          <w:lang w:val="fr-FR" w:eastAsia="fr-FR"/>
        </w:rPr>
      </w:pPr>
      <w:r w:rsidRPr="001474CE">
        <w:rPr>
          <w:rFonts w:ascii="Arial" w:eastAsia="Times New Roman" w:hAnsi="Arial" w:cs="Arial"/>
          <w:lang w:val="fr-FR" w:eastAsia="fr-FR"/>
        </w:rPr>
        <w:t>La convention change tout d’abord la dénomination officielle du Conseil Interparlementaire Consultatif de Benelux en la remplaçant par une nouvelle appellation, Assemblée Interparlementaire Benelux (l’Assemblée), plus conforme à la terminologie en usage aujourd’hui sur le plan international. En effet, l’actuelle dénomination officielle n’est déjà plus guère utilisée dans la pratique depuis plusieurs années.</w:t>
      </w:r>
    </w:p>
    <w:p w:rsidR="001474CE" w:rsidRPr="001474CE" w:rsidRDefault="001474CE" w:rsidP="001474CE">
      <w:pPr>
        <w:autoSpaceDE w:val="0"/>
        <w:autoSpaceDN w:val="0"/>
        <w:adjustRightInd w:val="0"/>
        <w:spacing w:after="240" w:line="240" w:lineRule="auto"/>
        <w:jc w:val="both"/>
        <w:rPr>
          <w:rFonts w:ascii="Arial" w:eastAsia="Times New Roman" w:hAnsi="Arial" w:cs="Arial"/>
          <w:lang w:val="fr-FR" w:eastAsia="fr-FR"/>
        </w:rPr>
      </w:pPr>
      <w:r w:rsidRPr="001474CE">
        <w:rPr>
          <w:rFonts w:ascii="Arial" w:eastAsia="Times New Roman" w:hAnsi="Arial" w:cs="Arial"/>
          <w:lang w:val="fr-FR" w:eastAsia="fr-FR"/>
        </w:rPr>
        <w:t>Du point de vue des compétences, la convention vise à réorienter les travaux de l’institution. Les nouvelles dispositions comprennent la coopération transfrontalière à tous les niveaux, le maintien et développement d’une union économique en conformité avec les règles du marché unique de l’Union européenne, le développement durable, la coopération dans les domaines de la justice et des affaires intérieures, la coopération externe de l’Union Benelux avec d’autres États et entités fédérées, et la coopération dans le domaine de la politique européenne. Par contre, la convention ne reprend plus l’objectif de l’unification du droit des trois États, ni celui du rapprochement culturel de la Convention de 1955.</w:t>
      </w:r>
    </w:p>
    <w:p w:rsidR="001474CE" w:rsidRPr="001474CE" w:rsidRDefault="001474CE" w:rsidP="001474CE">
      <w:pPr>
        <w:autoSpaceDE w:val="0"/>
        <w:autoSpaceDN w:val="0"/>
        <w:adjustRightInd w:val="0"/>
        <w:spacing w:after="240" w:line="240" w:lineRule="auto"/>
        <w:jc w:val="both"/>
        <w:rPr>
          <w:rFonts w:ascii="Arial" w:eastAsia="Times New Roman" w:hAnsi="Arial" w:cs="Arial"/>
          <w:lang w:val="fr-FR" w:eastAsia="fr-FR"/>
        </w:rPr>
      </w:pPr>
      <w:r w:rsidRPr="001474CE">
        <w:rPr>
          <w:rFonts w:ascii="Arial" w:eastAsia="Times New Roman" w:hAnsi="Arial" w:cs="Arial"/>
          <w:lang w:val="fr-FR" w:eastAsia="fr-FR"/>
        </w:rPr>
        <w:t>Les possibilités d’agir sur ces sujets sont également renforcées. L’Assemblée peut non seulement adresser des avis au Comité de Ministres et aux gouvernements, mais également leur poser des questions écrites sur ces matières et organiser des débats en plénière, auxquels des représentants des gouvernements concernés seront présents.</w:t>
      </w:r>
    </w:p>
    <w:p w:rsidR="001474CE" w:rsidRPr="001474CE" w:rsidRDefault="001474CE">
      <w:pPr>
        <w:rPr>
          <w:lang w:val="fr-FR"/>
        </w:rPr>
      </w:pPr>
    </w:p>
    <w:sectPr w:rsidR="001474CE" w:rsidRPr="0014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4CE"/>
    <w:rsid w:val="001474CE"/>
    <w:rsid w:val="003B3C5F"/>
    <w:rsid w:val="00481B56"/>
    <w:rsid w:val="008F131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0CC5CF-41D7-409D-BD40-7DBA6A34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DP7148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7148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/sftpecos/Dossiers_parlementaires/7148/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02A234BB-4029-4644-9207-B51D196E2091}"/>
</file>

<file path=customXml/itemProps2.xml><?xml version="1.0" encoding="utf-8"?>
<ds:datastoreItem xmlns:ds="http://schemas.openxmlformats.org/officeDocument/2006/customXml" ds:itemID="{27E21174-92C4-4777-8411-67563EB5396B}"/>
</file>

<file path=customXml/itemProps3.xml><?xml version="1.0" encoding="utf-8"?>
<ds:datastoreItem xmlns:ds="http://schemas.openxmlformats.org/officeDocument/2006/customXml" ds:itemID="{955F1233-17A8-444A-8A91-874B5F3E3456}"/>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1664</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Rita Brors</dc:creator>
  <cp:keywords/>
  <dc:description/>
  <cp:lastModifiedBy>SYSTEM</cp:lastModifiedBy>
  <cp:revision>2</cp:revision>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